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5"/>
        <w:gridCol w:w="10780"/>
      </w:tblGrid>
      <w:tr>
        <w:trPr>
          <w:trHeight w:val="506" w:hRule="atLeast"/>
        </w:trPr>
        <w:tc>
          <w:tcPr>
            <w:tcW w:w="4465"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80"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r>
          </w:p>
        </w:tc>
      </w:tr>
    </w:tbl>
    <w:p>
      <w:pPr>
        <w:pStyle w:val="Normal"/>
        <w:rPr/>
      </w:pPr>
      <w:r>
        <w:rPr>
          <w:sz w:val="22"/>
          <w:szCs w:val="22"/>
        </w:rPr>
        <w:t>KLASA: 363-01/24-01/</w:t>
      </w:r>
      <w:r>
        <w:rPr>
          <w:sz w:val="22"/>
          <w:szCs w:val="22"/>
        </w:rPr>
        <w:t>22</w:t>
      </w:r>
    </w:p>
    <w:p>
      <w:pPr>
        <w:pStyle w:val="Normal"/>
        <w:rPr/>
      </w:pPr>
      <w:r>
        <w:rPr>
          <w:sz w:val="22"/>
          <w:szCs w:val="22"/>
        </w:rPr>
        <w:t>URBROJ: 2140-23-1-24-</w:t>
      </w:r>
      <w:r>
        <w:rPr>
          <w:sz w:val="22"/>
          <w:szCs w:val="22"/>
        </w:rPr>
        <w:t>02</w:t>
      </w:r>
    </w:p>
    <w:p>
      <w:pPr>
        <w:pStyle w:val="Normal"/>
        <w:rPr/>
      </w:pPr>
      <w:r>
        <w:rPr>
          <w:sz w:val="22"/>
          <w:szCs w:val="22"/>
        </w:rPr>
        <w:t xml:space="preserve">Mihovljan,  </w:t>
      </w:r>
      <w:r>
        <w:rPr>
          <w:sz w:val="22"/>
          <w:szCs w:val="22"/>
        </w:rPr>
        <w:t>19</w:t>
      </w:r>
      <w:r>
        <w:rPr>
          <w:sz w:val="22"/>
          <w:szCs w:val="22"/>
        </w:rPr>
        <w:t>. prosinca 2024.</w:t>
      </w:r>
    </w:p>
    <w:p>
      <w:pPr>
        <w:pStyle w:val="Normal"/>
        <w:jc w:val="both"/>
        <w:rPr>
          <w:sz w:val="22"/>
          <w:szCs w:val="22"/>
        </w:rPr>
      </w:pPr>
      <w:r>
        <w:rPr>
          <w:sz w:val="22"/>
          <w:szCs w:val="22"/>
        </w:rPr>
      </w:r>
    </w:p>
    <w:p>
      <w:pPr>
        <w:pStyle w:val="Normal"/>
        <w:jc w:val="both"/>
        <w:rPr/>
      </w:pPr>
      <w:r>
        <w:rPr>
          <w:sz w:val="22"/>
          <w:szCs w:val="22"/>
        </w:rPr>
        <w:t xml:space="preserve">Na temelju članka 72. Zakona o komunalnom gospodarstvu („Narodne novine“ broj 68/18 i 110/18, 32/20) i članka 39. Statuta Općine Mihovljan („Službeni glasnik Krapinsko-zagorske županije“ br. 5/13, 11/18, 8/20, 8/21), Općinsko vijeće Općine Mihovljan na svojoj  </w:t>
      </w:r>
      <w:r>
        <w:rPr>
          <w:sz w:val="22"/>
          <w:szCs w:val="22"/>
        </w:rPr>
        <w:t>28</w:t>
      </w:r>
      <w:r>
        <w:rPr>
          <w:sz w:val="22"/>
          <w:szCs w:val="22"/>
        </w:rPr>
        <w:t xml:space="preserve">. sjednici održanoj dana  </w:t>
      </w:r>
      <w:r>
        <w:rPr>
          <w:sz w:val="22"/>
          <w:szCs w:val="22"/>
        </w:rPr>
        <w:t>19</w:t>
      </w:r>
      <w:r>
        <w:rPr>
          <w:sz w:val="22"/>
          <w:szCs w:val="22"/>
        </w:rPr>
        <w:t>. prosinca 2024. godine, donijelo je</w:t>
      </w:r>
    </w:p>
    <w:p>
      <w:pPr>
        <w:pStyle w:val="Normal"/>
        <w:jc w:val="center"/>
        <w:rPr>
          <w:b/>
          <w:b/>
          <w:bCs/>
          <w:sz w:val="22"/>
          <w:szCs w:val="22"/>
        </w:rPr>
      </w:pPr>
      <w:r>
        <w:rPr>
          <w:b/>
          <w:bCs/>
          <w:sz w:val="22"/>
          <w:szCs w:val="22"/>
        </w:rPr>
      </w:r>
    </w:p>
    <w:p>
      <w:pPr>
        <w:pStyle w:val="Normal"/>
        <w:jc w:val="center"/>
        <w:rPr/>
      </w:pPr>
      <w:r>
        <w:rPr>
          <w:b/>
          <w:bCs/>
          <w:sz w:val="22"/>
          <w:szCs w:val="22"/>
        </w:rPr>
        <w:t>PROGRAM ODRŽAVANJA OBJEKATA KOMUNALNE INFRASTRUKTURE</w:t>
      </w:r>
    </w:p>
    <w:p>
      <w:pPr>
        <w:pStyle w:val="Normal"/>
        <w:jc w:val="center"/>
        <w:rPr/>
      </w:pPr>
      <w:r>
        <w:rPr>
          <w:b/>
          <w:bCs/>
          <w:color w:val="00000A"/>
          <w:sz w:val="22"/>
          <w:szCs w:val="22"/>
        </w:rPr>
        <w:t>NA PODRUČJU OPĆINE MIHOVLJAN U 2025. GODINI</w:t>
      </w:r>
    </w:p>
    <w:p>
      <w:pPr>
        <w:pStyle w:val="Normal"/>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2025.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2025. godini izrađen je u skladu s predvidivim sredstvima i izvornima financiranja utvrđenih Proračunom Općine Mihovljan za 2025. godinu.</w:t>
      </w:r>
    </w:p>
    <w:p>
      <w:pPr>
        <w:pStyle w:val="Normal"/>
        <w:jc w:val="both"/>
        <w:rPr>
          <w:sz w:val="22"/>
          <w:szCs w:val="22"/>
        </w:rPr>
      </w:pPr>
      <w:r>
        <w:rPr>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t>Članak 3.</w:t>
      </w:r>
    </w:p>
    <w:p>
      <w:pPr>
        <w:pStyle w:val="Normal"/>
        <w:ind w:firstLine="708"/>
        <w:jc w:val="both"/>
        <w:rPr/>
      </w:pPr>
      <w:r>
        <w:rPr>
          <w:sz w:val="22"/>
          <w:szCs w:val="22"/>
        </w:rPr>
        <w:t>Sredstva za ostvarivanje Programa održavanja komunalne infrastrukture u 2025. godini planirana su u iznosu od 149.300,00 EUR, a osigurat će se iz sljedećih izvora:</w:t>
      </w:r>
    </w:p>
    <w:p>
      <w:pPr>
        <w:pStyle w:val="Normal"/>
        <w:jc w:val="both"/>
        <w:rPr>
          <w:sz w:val="22"/>
          <w:szCs w:val="22"/>
        </w:rPr>
      </w:pPr>
      <w:r>
        <w:rPr>
          <w:sz w:val="22"/>
          <w:szCs w:val="22"/>
        </w:rPr>
      </w:r>
    </w:p>
    <w:tbl>
      <w:tblPr>
        <w:tblStyle w:val="Reetkatablice"/>
        <w:tblW w:w="12635" w:type="dxa"/>
        <w:jc w:val="left"/>
        <w:tblInd w:w="967" w:type="dxa"/>
        <w:tblCellMar>
          <w:top w:w="0" w:type="dxa"/>
          <w:left w:w="108" w:type="dxa"/>
          <w:bottom w:w="0" w:type="dxa"/>
          <w:right w:w="108" w:type="dxa"/>
        </w:tblCellMar>
        <w:tblLook w:firstRow="1" w:noVBand="1" w:lastRow="0" w:firstColumn="1" w:lastColumn="0" w:noHBand="0" w:val="04a0"/>
      </w:tblPr>
      <w:tblGrid>
        <w:gridCol w:w="634"/>
        <w:gridCol w:w="695"/>
        <w:gridCol w:w="1"/>
        <w:gridCol w:w="10008"/>
        <w:gridCol w:w="1296"/>
      </w:tblGrid>
      <w:tr>
        <w:trPr/>
        <w:tc>
          <w:tcPr>
            <w:tcW w:w="634" w:type="dxa"/>
            <w:tcBorders>
              <w:right w:val="nil"/>
            </w:tcBorders>
            <w:shd w:color="auto" w:fill="D9D9D9" w:themeFill="background1" w:themeFillShade="d9" w:val="clear"/>
            <w:vAlign w:val="center"/>
          </w:tcPr>
          <w:p>
            <w:pPr>
              <w:pStyle w:val="Normal"/>
              <w:widowControl w:val="false"/>
              <w:jc w:val="both"/>
              <w:rPr>
                <w:sz w:val="22"/>
                <w:szCs w:val="22"/>
              </w:rPr>
            </w:pPr>
            <w:r>
              <w:rPr>
                <w:sz w:val="22"/>
                <w:szCs w:val="22"/>
              </w:rPr>
            </w:r>
          </w:p>
        </w:tc>
        <w:tc>
          <w:tcPr>
            <w:tcW w:w="695" w:type="dxa"/>
            <w:tcBorders/>
            <w:shd w:color="auto" w:fill="D9D9D9" w:themeFill="background1" w:themeFillShade="d9" w:val="clear"/>
            <w:vAlign w:val="center"/>
          </w:tcPr>
          <w:p>
            <w:pPr>
              <w:pStyle w:val="Normal"/>
              <w:widowControl w:val="false"/>
              <w:jc w:val="both"/>
              <w:rPr>
                <w:sz w:val="22"/>
                <w:szCs w:val="22"/>
              </w:rPr>
            </w:pPr>
            <w:r>
              <w:rPr>
                <w:b/>
                <w:sz w:val="22"/>
                <w:szCs w:val="22"/>
              </w:rPr>
              <w:t>R.b.</w:t>
            </w:r>
          </w:p>
        </w:tc>
        <w:tc>
          <w:tcPr>
            <w:tcW w:w="10009" w:type="dxa"/>
            <w:gridSpan w:val="2"/>
            <w:tcBorders/>
            <w:shd w:color="auto" w:fill="D9D9D9" w:themeFill="background1" w:themeFillShade="d9" w:val="clear"/>
            <w:vAlign w:val="center"/>
          </w:tcPr>
          <w:p>
            <w:pPr>
              <w:pStyle w:val="Normal"/>
              <w:widowControl w:val="false"/>
              <w:jc w:val="center"/>
              <w:rPr>
                <w:sz w:val="22"/>
                <w:szCs w:val="22"/>
              </w:rPr>
            </w:pPr>
            <w:r>
              <w:rPr>
                <w:b/>
                <w:sz w:val="22"/>
                <w:szCs w:val="22"/>
              </w:rPr>
              <w:t>Opis</w:t>
            </w:r>
          </w:p>
        </w:tc>
        <w:tc>
          <w:tcPr>
            <w:tcW w:w="1296" w:type="dxa"/>
            <w:tcBorders/>
            <w:shd w:color="auto" w:fill="D9D9D9" w:themeFill="background1" w:themeFillShade="d9" w:val="clear"/>
            <w:vAlign w:val="center"/>
          </w:tcPr>
          <w:p>
            <w:pPr>
              <w:pStyle w:val="Normal"/>
              <w:widowControl w:val="false"/>
              <w:jc w:val="center"/>
              <w:rPr>
                <w:sz w:val="22"/>
                <w:szCs w:val="22"/>
              </w:rPr>
            </w:pPr>
            <w:r>
              <w:rPr>
                <w:b/>
                <w:sz w:val="22"/>
                <w:szCs w:val="22"/>
              </w:rPr>
              <w:t>Planirano ukupno (EUR)</w:t>
            </w:r>
          </w:p>
        </w:tc>
      </w:tr>
      <w:tr>
        <w:trPr/>
        <w:tc>
          <w:tcPr>
            <w:tcW w:w="1330" w:type="dxa"/>
            <w:gridSpan w:val="3"/>
            <w:tcBorders/>
            <w:shd w:color="auto" w:fill="auto" w:val="clear"/>
          </w:tcPr>
          <w:p>
            <w:pPr>
              <w:pStyle w:val="Normal"/>
              <w:widowControl w:val="false"/>
              <w:jc w:val="both"/>
              <w:rPr/>
            </w:pPr>
            <w:r>
              <w:rPr>
                <w:b/>
                <w:bCs/>
                <w:sz w:val="22"/>
                <w:szCs w:val="22"/>
              </w:rPr>
              <w:t>11</w:t>
            </w:r>
          </w:p>
        </w:tc>
        <w:tc>
          <w:tcPr>
            <w:tcW w:w="11304" w:type="dxa"/>
            <w:gridSpan w:val="2"/>
            <w:tcBorders/>
            <w:shd w:color="auto" w:fill="auto" w:val="clear"/>
          </w:tcPr>
          <w:p>
            <w:pPr>
              <w:pStyle w:val="NoSpacing"/>
              <w:widowControl w:val="false"/>
              <w:rPr/>
            </w:pPr>
            <w:r>
              <w:rPr>
                <w:rFonts w:cs="Times New Roman" w:ascii="Times New Roman" w:hAnsi="Times New Roman"/>
                <w:b/>
                <w:bCs/>
              </w:rPr>
              <w:t>Opći prihodi i primici (61, 64, 681)</w:t>
            </w:r>
          </w:p>
        </w:tc>
      </w:tr>
      <w:tr>
        <w:trPr/>
        <w:tc>
          <w:tcPr>
            <w:tcW w:w="63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1.</w:t>
            </w:r>
          </w:p>
        </w:tc>
        <w:tc>
          <w:tcPr>
            <w:tcW w:w="10009" w:type="dxa"/>
            <w:gridSpan w:val="2"/>
            <w:tcBorders>
              <w:top w:val="nil"/>
            </w:tcBorders>
            <w:shd w:color="auto" w:fill="auto" w:val="clear"/>
          </w:tcPr>
          <w:p>
            <w:pPr>
              <w:pStyle w:val="Normal"/>
              <w:widowControl w:val="false"/>
              <w:jc w:val="both"/>
              <w:rPr/>
            </w:pPr>
            <w:r>
              <w:rPr>
                <w:sz w:val="22"/>
                <w:szCs w:val="22"/>
              </w:rPr>
              <w:t>Prihodi od poreza</w:t>
            </w:r>
          </w:p>
        </w:tc>
        <w:tc>
          <w:tcPr>
            <w:tcW w:w="1296" w:type="dxa"/>
            <w:tcBorders>
              <w:top w:val="nil"/>
            </w:tcBorders>
            <w:shd w:color="auto" w:fill="auto" w:val="clear"/>
            <w:vAlign w:val="center"/>
          </w:tcPr>
          <w:p>
            <w:pPr>
              <w:pStyle w:val="Normal"/>
              <w:widowControl w:val="false"/>
              <w:jc w:val="right"/>
              <w:rPr>
                <w:sz w:val="20"/>
                <w:szCs w:val="20"/>
              </w:rPr>
            </w:pPr>
            <w:r>
              <w:rPr>
                <w:sz w:val="20"/>
                <w:szCs w:val="20"/>
              </w:rPr>
              <w:t>13.350,00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2.</w:t>
            </w:r>
          </w:p>
        </w:tc>
        <w:tc>
          <w:tcPr>
            <w:tcW w:w="10009" w:type="dxa"/>
            <w:gridSpan w:val="2"/>
            <w:tcBorders>
              <w:top w:val="nil"/>
            </w:tcBorders>
            <w:shd w:color="auto" w:fill="auto" w:val="clear"/>
          </w:tcPr>
          <w:p>
            <w:pPr>
              <w:pStyle w:val="Normal"/>
              <w:widowControl w:val="false"/>
              <w:jc w:val="both"/>
              <w:rPr/>
            </w:pPr>
            <w:r>
              <w:rPr>
                <w:sz w:val="22"/>
                <w:szCs w:val="22"/>
              </w:rPr>
              <w:t>Prihodi od imovine (naknade za koncesiju)</w:t>
            </w:r>
          </w:p>
        </w:tc>
        <w:tc>
          <w:tcPr>
            <w:tcW w:w="1296" w:type="dxa"/>
            <w:tcBorders>
              <w:top w:val="nil"/>
            </w:tcBorders>
            <w:shd w:color="auto" w:fill="auto" w:val="clear"/>
            <w:vAlign w:val="center"/>
          </w:tcPr>
          <w:p>
            <w:pPr>
              <w:pStyle w:val="Normal"/>
              <w:widowControl w:val="false"/>
              <w:jc w:val="right"/>
              <w:rPr>
                <w:sz w:val="20"/>
                <w:szCs w:val="20"/>
              </w:rPr>
            </w:pPr>
            <w:r>
              <w:rPr>
                <w:sz w:val="20"/>
                <w:szCs w:val="20"/>
              </w:rPr>
              <w:t>13.000,00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3.</w:t>
            </w:r>
          </w:p>
        </w:tc>
        <w:tc>
          <w:tcPr>
            <w:tcW w:w="10009" w:type="dxa"/>
            <w:gridSpan w:val="2"/>
            <w:tcBorders>
              <w:top w:val="nil"/>
            </w:tcBorders>
            <w:shd w:color="auto" w:fill="auto" w:val="clear"/>
          </w:tcPr>
          <w:p>
            <w:pPr>
              <w:pStyle w:val="Normal"/>
              <w:widowControl w:val="false"/>
              <w:jc w:val="both"/>
              <w:rPr/>
            </w:pPr>
            <w:r>
              <w:rPr>
                <w:sz w:val="22"/>
                <w:szCs w:val="22"/>
              </w:rPr>
              <w:t>Kazne i upravne mjere</w:t>
            </w:r>
          </w:p>
        </w:tc>
        <w:tc>
          <w:tcPr>
            <w:tcW w:w="1296" w:type="dxa"/>
            <w:tcBorders>
              <w:top w:val="nil"/>
            </w:tcBorders>
            <w:shd w:color="auto" w:fill="auto" w:val="clear"/>
            <w:vAlign w:val="center"/>
          </w:tcPr>
          <w:p>
            <w:pPr>
              <w:pStyle w:val="Normal"/>
              <w:widowControl w:val="false"/>
              <w:jc w:val="right"/>
              <w:rPr>
                <w:sz w:val="20"/>
                <w:szCs w:val="20"/>
              </w:rPr>
            </w:pPr>
            <w:r>
              <w:rPr>
                <w:sz w:val="20"/>
                <w:szCs w:val="20"/>
              </w:rPr>
              <w:t>1.000,00</w:t>
            </w:r>
          </w:p>
        </w:tc>
      </w:tr>
      <w:tr>
        <w:trPr/>
        <w:tc>
          <w:tcPr>
            <w:tcW w:w="1330" w:type="dxa"/>
            <w:gridSpan w:val="3"/>
            <w:tcBorders>
              <w:top w:val="nil"/>
            </w:tcBorders>
            <w:shd w:color="auto" w:fill="auto" w:val="clear"/>
          </w:tcPr>
          <w:p>
            <w:pPr>
              <w:pStyle w:val="Normal"/>
              <w:widowControl w:val="false"/>
              <w:jc w:val="both"/>
              <w:rPr/>
            </w:pPr>
            <w:r>
              <w:rPr>
                <w:b/>
                <w:bCs/>
                <w:sz w:val="22"/>
                <w:szCs w:val="22"/>
              </w:rPr>
              <w:t>31</w:t>
            </w:r>
          </w:p>
        </w:tc>
        <w:tc>
          <w:tcPr>
            <w:tcW w:w="11304" w:type="dxa"/>
            <w:gridSpan w:val="2"/>
            <w:tcBorders>
              <w:top w:val="nil"/>
            </w:tcBorders>
            <w:shd w:color="auto" w:fill="auto" w:val="clear"/>
          </w:tcPr>
          <w:p>
            <w:pPr>
              <w:pStyle w:val="NoSpacing"/>
              <w:widowControl w:val="false"/>
              <w:jc w:val="both"/>
              <w:rPr>
                <w:rFonts w:ascii="Times New Roman" w:hAnsi="Times New Roman" w:cs="Times New Roman"/>
                <w:b/>
                <w:b/>
                <w:bCs/>
              </w:rPr>
            </w:pPr>
            <w:r>
              <w:rPr>
                <w:rFonts w:cs="Times New Roman" w:ascii="Times New Roman" w:hAnsi="Times New Roman"/>
                <w:b/>
                <w:bCs/>
              </w:rPr>
            </w:r>
          </w:p>
        </w:tc>
      </w:tr>
      <w:tr>
        <w:trPr/>
        <w:tc>
          <w:tcPr>
            <w:tcW w:w="63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1.</w:t>
            </w:r>
          </w:p>
        </w:tc>
        <w:tc>
          <w:tcPr>
            <w:tcW w:w="10009" w:type="dxa"/>
            <w:gridSpan w:val="2"/>
            <w:tcBorders>
              <w:top w:val="nil"/>
              <w:right w:val="nil"/>
            </w:tcBorders>
            <w:shd w:color="auto" w:fill="auto" w:val="clear"/>
          </w:tcPr>
          <w:p>
            <w:pPr>
              <w:pStyle w:val="NoSpacing"/>
              <w:widowControl w:val="false"/>
              <w:jc w:val="both"/>
              <w:rPr/>
            </w:pPr>
            <w:r>
              <w:rPr>
                <w:rFonts w:cs="Times New Roman" w:ascii="Times New Roman" w:hAnsi="Times New Roman"/>
              </w:rPr>
              <w:t>Groblje: prihod od davanja u  zakup grobnih mjesta</w:t>
            </w:r>
          </w:p>
        </w:tc>
        <w:tc>
          <w:tcPr>
            <w:tcW w:w="1296" w:type="dxa"/>
            <w:tcBorders>
              <w:top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8.000,00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2.</w:t>
            </w:r>
          </w:p>
        </w:tc>
        <w:tc>
          <w:tcPr>
            <w:tcW w:w="10009" w:type="dxa"/>
            <w:gridSpan w:val="2"/>
            <w:tcBorders>
              <w:top w:val="nil"/>
              <w:right w:val="nil"/>
            </w:tcBorders>
            <w:shd w:color="auto" w:fill="auto" w:val="clear"/>
          </w:tcPr>
          <w:p>
            <w:pPr>
              <w:pStyle w:val="NoSpacing"/>
              <w:widowControl w:val="false"/>
              <w:jc w:val="both"/>
              <w:rPr/>
            </w:pPr>
            <w:r>
              <w:rPr>
                <w:rFonts w:cs="Times New Roman" w:ascii="Times New Roman" w:hAnsi="Times New Roman"/>
              </w:rPr>
              <w:t>Groblje: prihod od izd. Rješenja za gradnju betonskih okvira</w:t>
            </w:r>
          </w:p>
        </w:tc>
        <w:tc>
          <w:tcPr>
            <w:tcW w:w="1296" w:type="dxa"/>
            <w:tcBorders>
              <w:top w:val="nil"/>
            </w:tcBorders>
            <w:shd w:color="auto" w:fill="auto" w:val="clear"/>
          </w:tcPr>
          <w:p>
            <w:pPr>
              <w:pStyle w:val="NoSpacing"/>
              <w:widowControl w:val="false"/>
              <w:jc w:val="right"/>
              <w:rPr>
                <w:rFonts w:ascii="Times New Roman" w:hAnsi="Times New Roman"/>
                <w:sz w:val="20"/>
                <w:szCs w:val="20"/>
              </w:rPr>
            </w:pPr>
            <w:bookmarkStart w:id="0" w:name="__DdeLink__831_697091794"/>
            <w:r>
              <w:rPr>
                <w:rFonts w:cs="Times New Roman" w:ascii="Times New Roman" w:hAnsi="Times New Roman"/>
                <w:sz w:val="20"/>
                <w:szCs w:val="20"/>
              </w:rPr>
              <w:t>600,00</w:t>
            </w:r>
            <w:bookmarkEnd w:id="0"/>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3.</w:t>
            </w:r>
          </w:p>
        </w:tc>
        <w:tc>
          <w:tcPr>
            <w:tcW w:w="10009" w:type="dxa"/>
            <w:gridSpan w:val="2"/>
            <w:tcBorders>
              <w:top w:val="nil"/>
              <w:right w:val="nil"/>
            </w:tcBorders>
            <w:shd w:color="auto" w:fill="auto" w:val="clear"/>
          </w:tcPr>
          <w:p>
            <w:pPr>
              <w:pStyle w:val="NoSpacing"/>
              <w:widowControl w:val="false"/>
              <w:jc w:val="both"/>
              <w:rPr/>
            </w:pPr>
            <w:r>
              <w:rPr>
                <w:rFonts w:cs="Times New Roman" w:ascii="Times New Roman" w:hAnsi="Times New Roman"/>
              </w:rPr>
              <w:t>Groblje: prihod od izd. Odobrenja za opločenje grobnih mjesta</w:t>
            </w:r>
          </w:p>
        </w:tc>
        <w:tc>
          <w:tcPr>
            <w:tcW w:w="1296" w:type="dxa"/>
            <w:tcBorders>
              <w:top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600,00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4.</w:t>
            </w:r>
          </w:p>
        </w:tc>
        <w:tc>
          <w:tcPr>
            <w:tcW w:w="10009" w:type="dxa"/>
            <w:gridSpan w:val="2"/>
            <w:tcBorders>
              <w:top w:val="nil"/>
              <w:right w:val="nil"/>
            </w:tcBorders>
            <w:shd w:color="auto" w:fill="auto" w:val="clear"/>
          </w:tcPr>
          <w:p>
            <w:pPr>
              <w:pStyle w:val="NoSpacing"/>
              <w:widowControl w:val="false"/>
              <w:jc w:val="both"/>
              <w:rPr/>
            </w:pPr>
            <w:r>
              <w:rPr>
                <w:rFonts w:cs="Times New Roman" w:ascii="Times New Roman" w:hAnsi="Times New Roman"/>
              </w:rPr>
              <w:t>Groblje: grobne usluge (usluge ukopa i ostale usluge)</w:t>
            </w:r>
          </w:p>
        </w:tc>
        <w:tc>
          <w:tcPr>
            <w:tcW w:w="1296" w:type="dxa"/>
            <w:tcBorders>
              <w:top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12.000,00</w:t>
            </w:r>
          </w:p>
        </w:tc>
      </w:tr>
      <w:tr>
        <w:trPr/>
        <w:tc>
          <w:tcPr>
            <w:tcW w:w="1330" w:type="dxa"/>
            <w:gridSpan w:val="3"/>
            <w:tcBorders>
              <w:top w:val="nil"/>
            </w:tcBorders>
            <w:shd w:color="auto" w:fill="auto" w:val="clear"/>
          </w:tcPr>
          <w:p>
            <w:pPr>
              <w:pStyle w:val="Normal"/>
              <w:widowControl w:val="false"/>
              <w:jc w:val="both"/>
              <w:rPr/>
            </w:pPr>
            <w:r>
              <w:rPr>
                <w:b/>
                <w:bCs/>
                <w:sz w:val="22"/>
                <w:szCs w:val="22"/>
              </w:rPr>
              <w:t>43</w:t>
            </w:r>
          </w:p>
        </w:tc>
        <w:tc>
          <w:tcPr>
            <w:tcW w:w="11304" w:type="dxa"/>
            <w:gridSpan w:val="2"/>
            <w:tcBorders>
              <w:top w:val="nil"/>
            </w:tcBorders>
            <w:shd w:color="auto" w:fill="auto" w:val="clear"/>
          </w:tcPr>
          <w:p>
            <w:pPr>
              <w:pStyle w:val="NoSpacing"/>
              <w:widowControl w:val="false"/>
              <w:jc w:val="both"/>
              <w:rPr/>
            </w:pPr>
            <w:r>
              <w:rPr>
                <w:rFonts w:cs="Times New Roman" w:ascii="Times New Roman" w:hAnsi="Times New Roman"/>
                <w:b/>
                <w:bCs/>
              </w:rPr>
              <w:t>Prihodi za posebne namjene (651, 652, 653)</w:t>
            </w:r>
          </w:p>
        </w:tc>
      </w:tr>
      <w:tr>
        <w:trPr/>
        <w:tc>
          <w:tcPr>
            <w:tcW w:w="63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1.</w:t>
            </w:r>
          </w:p>
        </w:tc>
        <w:tc>
          <w:tcPr>
            <w:tcW w:w="10009" w:type="dxa"/>
            <w:gridSpan w:val="2"/>
            <w:tcBorders>
              <w:top w:val="nil"/>
            </w:tcBorders>
            <w:shd w:color="auto" w:fill="auto" w:val="clear"/>
          </w:tcPr>
          <w:p>
            <w:pPr>
              <w:pStyle w:val="Normal"/>
              <w:widowControl w:val="false"/>
              <w:jc w:val="both"/>
              <w:rPr/>
            </w:pPr>
            <w:r>
              <w:rPr>
                <w:sz w:val="22"/>
                <w:szCs w:val="22"/>
              </w:rPr>
              <w:t>Šumski doprinos</w:t>
            </w:r>
          </w:p>
        </w:tc>
        <w:tc>
          <w:tcPr>
            <w:tcW w:w="1296" w:type="dxa"/>
            <w:tcBorders>
              <w:top w:val="nil"/>
            </w:tcBorders>
            <w:shd w:color="auto" w:fill="auto" w:val="clear"/>
            <w:vAlign w:val="center"/>
          </w:tcPr>
          <w:p>
            <w:pPr>
              <w:pStyle w:val="Normal"/>
              <w:widowControl w:val="false"/>
              <w:jc w:val="right"/>
              <w:rPr>
                <w:sz w:val="20"/>
                <w:szCs w:val="20"/>
              </w:rPr>
            </w:pPr>
            <w:r>
              <w:rPr>
                <w:sz w:val="20"/>
                <w:szCs w:val="20"/>
              </w:rPr>
              <w:t>100,00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shd w:color="auto" w:fill="auto" w:val="clear"/>
          </w:tcPr>
          <w:p>
            <w:pPr>
              <w:pStyle w:val="Normal"/>
              <w:widowControl w:val="false"/>
              <w:jc w:val="both"/>
              <w:rPr/>
            </w:pPr>
            <w:r>
              <w:rPr>
                <w:sz w:val="22"/>
                <w:szCs w:val="22"/>
              </w:rPr>
              <w:t>2.</w:t>
            </w:r>
          </w:p>
        </w:tc>
        <w:tc>
          <w:tcPr>
            <w:tcW w:w="10009" w:type="dxa"/>
            <w:gridSpan w:val="2"/>
            <w:tcBorders/>
            <w:shd w:color="auto" w:fill="auto" w:val="clear"/>
          </w:tcPr>
          <w:p>
            <w:pPr>
              <w:pStyle w:val="Normal"/>
              <w:widowControl w:val="false"/>
              <w:jc w:val="both"/>
              <w:rPr/>
            </w:pPr>
            <w:r>
              <w:rPr>
                <w:sz w:val="22"/>
                <w:szCs w:val="22"/>
              </w:rPr>
              <w:t>Prihod od grobne naknade</w:t>
            </w:r>
          </w:p>
        </w:tc>
        <w:tc>
          <w:tcPr>
            <w:tcW w:w="1296" w:type="dxa"/>
            <w:tcBorders/>
            <w:shd w:color="auto" w:fill="auto" w:val="clear"/>
            <w:vAlign w:val="center"/>
          </w:tcPr>
          <w:p>
            <w:pPr>
              <w:pStyle w:val="Normal"/>
              <w:widowControl w:val="false"/>
              <w:jc w:val="right"/>
              <w:rPr>
                <w:sz w:val="20"/>
                <w:szCs w:val="20"/>
              </w:rPr>
            </w:pPr>
            <w:r>
              <w:rPr>
                <w:sz w:val="20"/>
                <w:szCs w:val="20"/>
              </w:rPr>
              <w:t>40.000,00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shd w:color="auto" w:fill="auto" w:val="clear"/>
          </w:tcPr>
          <w:p>
            <w:pPr>
              <w:pStyle w:val="Normal"/>
              <w:widowControl w:val="false"/>
              <w:jc w:val="both"/>
              <w:rPr/>
            </w:pPr>
            <w:r>
              <w:rPr>
                <w:sz w:val="22"/>
                <w:szCs w:val="22"/>
              </w:rPr>
              <w:t>3.</w:t>
            </w:r>
          </w:p>
        </w:tc>
        <w:tc>
          <w:tcPr>
            <w:tcW w:w="10009" w:type="dxa"/>
            <w:gridSpan w:val="2"/>
            <w:tcBorders/>
            <w:shd w:color="auto" w:fill="auto" w:val="clear"/>
          </w:tcPr>
          <w:p>
            <w:pPr>
              <w:pStyle w:val="Normal"/>
              <w:widowControl w:val="false"/>
              <w:jc w:val="both"/>
              <w:rPr/>
            </w:pPr>
            <w:r>
              <w:rPr>
                <w:sz w:val="22"/>
                <w:szCs w:val="22"/>
              </w:rPr>
              <w:t>Prihod od komunalne naknade</w:t>
            </w:r>
          </w:p>
        </w:tc>
        <w:tc>
          <w:tcPr>
            <w:tcW w:w="1296" w:type="dxa"/>
            <w:tcBorders/>
            <w:shd w:color="auto" w:fill="auto" w:val="clear"/>
            <w:vAlign w:val="center"/>
          </w:tcPr>
          <w:p>
            <w:pPr>
              <w:pStyle w:val="Normal"/>
              <w:widowControl w:val="false"/>
              <w:jc w:val="right"/>
              <w:rPr>
                <w:sz w:val="20"/>
                <w:szCs w:val="20"/>
              </w:rPr>
            </w:pPr>
            <w:r>
              <w:rPr>
                <w:sz w:val="20"/>
                <w:szCs w:val="20"/>
              </w:rPr>
              <w:t>49.000,00</w:t>
            </w:r>
          </w:p>
        </w:tc>
      </w:tr>
      <w:tr>
        <w:trPr>
          <w:trHeight w:val="330" w:hRule="atLeast"/>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top w:val="nil"/>
            </w:tcBorders>
            <w:shd w:color="auto" w:fill="auto" w:val="clear"/>
          </w:tcPr>
          <w:p>
            <w:pPr>
              <w:pStyle w:val="Normal"/>
              <w:widowControl w:val="false"/>
              <w:jc w:val="both"/>
              <w:rPr/>
            </w:pPr>
            <w:r>
              <w:rPr>
                <w:sz w:val="22"/>
                <w:szCs w:val="22"/>
              </w:rPr>
              <w:t>4.</w:t>
            </w:r>
          </w:p>
        </w:tc>
        <w:tc>
          <w:tcPr>
            <w:tcW w:w="10009" w:type="dxa"/>
            <w:gridSpan w:val="2"/>
            <w:tcBorders>
              <w:top w:val="nil"/>
            </w:tcBorders>
            <w:shd w:color="auto" w:fill="auto" w:val="clear"/>
          </w:tcPr>
          <w:p>
            <w:pPr>
              <w:pStyle w:val="Normal"/>
              <w:widowControl w:val="false"/>
              <w:jc w:val="both"/>
              <w:rPr/>
            </w:pPr>
            <w:r>
              <w:rPr>
                <w:sz w:val="22"/>
                <w:szCs w:val="22"/>
              </w:rPr>
              <w:t>Prihod od komunalnog doprinosa</w:t>
            </w:r>
          </w:p>
        </w:tc>
        <w:tc>
          <w:tcPr>
            <w:tcW w:w="1296" w:type="dxa"/>
            <w:tcBorders>
              <w:top w:val="nil"/>
            </w:tcBorders>
            <w:shd w:color="auto" w:fill="auto" w:val="clear"/>
            <w:vAlign w:val="center"/>
          </w:tcPr>
          <w:p>
            <w:pPr>
              <w:pStyle w:val="Normal"/>
              <w:widowControl w:val="false"/>
              <w:jc w:val="right"/>
              <w:rPr>
                <w:sz w:val="20"/>
                <w:szCs w:val="20"/>
              </w:rPr>
            </w:pPr>
            <w:r>
              <w:rPr>
                <w:sz w:val="20"/>
                <w:szCs w:val="20"/>
              </w:rPr>
              <w:t>1.500,00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shd w:color="auto" w:fill="auto" w:val="clear"/>
          </w:tcPr>
          <w:p>
            <w:pPr>
              <w:pStyle w:val="Normal"/>
              <w:widowControl w:val="false"/>
              <w:jc w:val="both"/>
              <w:rPr/>
            </w:pPr>
            <w:r>
              <w:rPr>
                <w:sz w:val="22"/>
                <w:szCs w:val="22"/>
              </w:rPr>
              <w:t>6.</w:t>
            </w:r>
          </w:p>
        </w:tc>
        <w:tc>
          <w:tcPr>
            <w:tcW w:w="10009" w:type="dxa"/>
            <w:gridSpan w:val="2"/>
            <w:tcBorders/>
            <w:shd w:color="auto" w:fill="auto" w:val="clear"/>
          </w:tcPr>
          <w:p>
            <w:pPr>
              <w:pStyle w:val="Normal"/>
              <w:widowControl w:val="false"/>
              <w:jc w:val="both"/>
              <w:rPr/>
            </w:pPr>
            <w:r>
              <w:rPr>
                <w:sz w:val="22"/>
                <w:szCs w:val="22"/>
              </w:rPr>
              <w:t>Vodni doprinos</w:t>
            </w:r>
          </w:p>
        </w:tc>
        <w:tc>
          <w:tcPr>
            <w:tcW w:w="1296" w:type="dxa"/>
            <w:tcBorders/>
            <w:shd w:color="auto" w:fill="auto" w:val="clear"/>
            <w:vAlign w:val="center"/>
          </w:tcPr>
          <w:p>
            <w:pPr>
              <w:pStyle w:val="Normal"/>
              <w:widowControl w:val="false"/>
              <w:jc w:val="right"/>
              <w:rPr>
                <w:sz w:val="20"/>
                <w:szCs w:val="20"/>
              </w:rPr>
            </w:pPr>
            <w:r>
              <w:rPr>
                <w:sz w:val="20"/>
                <w:szCs w:val="20"/>
              </w:rPr>
              <w:t>100,00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shd w:color="auto" w:fill="auto" w:val="clear"/>
          </w:tcPr>
          <w:p>
            <w:pPr>
              <w:pStyle w:val="Normal"/>
              <w:widowControl w:val="false"/>
              <w:jc w:val="both"/>
              <w:rPr/>
            </w:pPr>
            <w:r>
              <w:rPr>
                <w:sz w:val="22"/>
                <w:szCs w:val="22"/>
              </w:rPr>
              <w:t>7.</w:t>
            </w:r>
          </w:p>
        </w:tc>
        <w:tc>
          <w:tcPr>
            <w:tcW w:w="10009" w:type="dxa"/>
            <w:gridSpan w:val="2"/>
            <w:tcBorders/>
            <w:shd w:color="auto" w:fill="auto" w:val="clear"/>
          </w:tcPr>
          <w:p>
            <w:pPr>
              <w:pStyle w:val="Normal"/>
              <w:widowControl w:val="false"/>
              <w:jc w:val="both"/>
              <w:rPr/>
            </w:pPr>
            <w:r>
              <w:rPr>
                <w:sz w:val="22"/>
                <w:szCs w:val="22"/>
              </w:rPr>
              <w:t>Refundacija građana za el. energiju za javnu rasvjetu</w:t>
            </w:r>
          </w:p>
        </w:tc>
        <w:tc>
          <w:tcPr>
            <w:tcW w:w="1296" w:type="dxa"/>
            <w:tcBorders/>
            <w:shd w:color="auto" w:fill="auto" w:val="clear"/>
            <w:vAlign w:val="center"/>
          </w:tcPr>
          <w:p>
            <w:pPr>
              <w:pStyle w:val="Normal"/>
              <w:widowControl w:val="false"/>
              <w:jc w:val="right"/>
              <w:rPr>
                <w:sz w:val="20"/>
                <w:szCs w:val="20"/>
              </w:rPr>
            </w:pPr>
            <w:r>
              <w:rPr>
                <w:sz w:val="20"/>
                <w:szCs w:val="20"/>
              </w:rPr>
              <w:t>50,00</w:t>
            </w:r>
          </w:p>
        </w:tc>
      </w:tr>
      <w:tr>
        <w:trPr/>
        <w:tc>
          <w:tcPr>
            <w:tcW w:w="63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95" w:type="dxa"/>
            <w:tcBorders/>
            <w:shd w:color="auto" w:fill="auto" w:val="clear"/>
          </w:tcPr>
          <w:p>
            <w:pPr>
              <w:pStyle w:val="Normal"/>
              <w:widowControl w:val="false"/>
              <w:jc w:val="both"/>
              <w:rPr/>
            </w:pPr>
            <w:r>
              <w:rPr>
                <w:sz w:val="22"/>
                <w:szCs w:val="22"/>
              </w:rPr>
              <w:t>8.</w:t>
            </w:r>
          </w:p>
        </w:tc>
        <w:tc>
          <w:tcPr>
            <w:tcW w:w="10009" w:type="dxa"/>
            <w:gridSpan w:val="2"/>
            <w:tcBorders/>
            <w:shd w:color="auto" w:fill="auto" w:val="clear"/>
          </w:tcPr>
          <w:p>
            <w:pPr>
              <w:pStyle w:val="Normal"/>
              <w:widowControl w:val="false"/>
              <w:jc w:val="both"/>
              <w:rPr/>
            </w:pPr>
            <w:r>
              <w:rPr>
                <w:sz w:val="22"/>
                <w:szCs w:val="22"/>
              </w:rPr>
              <w:t>Sufinanciranje građana – uređenje odvodnih jaraka</w:t>
            </w:r>
          </w:p>
        </w:tc>
        <w:tc>
          <w:tcPr>
            <w:tcW w:w="1296" w:type="dxa"/>
            <w:tcBorders/>
            <w:shd w:color="auto" w:fill="auto" w:val="clear"/>
            <w:vAlign w:val="center"/>
          </w:tcPr>
          <w:p>
            <w:pPr>
              <w:pStyle w:val="Normal"/>
              <w:widowControl w:val="false"/>
              <w:jc w:val="right"/>
              <w:rPr>
                <w:sz w:val="20"/>
                <w:szCs w:val="20"/>
              </w:rPr>
            </w:pPr>
            <w:r>
              <w:rPr>
                <w:sz w:val="20"/>
                <w:szCs w:val="20"/>
              </w:rPr>
              <w:t>1.000,00</w:t>
            </w:r>
          </w:p>
        </w:tc>
      </w:tr>
      <w:tr>
        <w:trPr/>
        <w:tc>
          <w:tcPr>
            <w:tcW w:w="634" w:type="dxa"/>
            <w:tcBorders>
              <w:right w:val="nil"/>
            </w:tcBorders>
            <w:shd w:color="auto" w:fill="D9D9D9" w:themeFill="background1" w:themeFillShade="d9" w:val="clear"/>
          </w:tcPr>
          <w:p>
            <w:pPr>
              <w:pStyle w:val="Normal"/>
              <w:widowControl w:val="false"/>
              <w:jc w:val="both"/>
              <w:rPr>
                <w:sz w:val="22"/>
                <w:szCs w:val="22"/>
              </w:rPr>
            </w:pPr>
            <w:r>
              <w:rPr>
                <w:sz w:val="22"/>
                <w:szCs w:val="22"/>
              </w:rPr>
            </w:r>
          </w:p>
        </w:tc>
        <w:tc>
          <w:tcPr>
            <w:tcW w:w="695" w:type="dxa"/>
            <w:tcBorders/>
            <w:shd w:color="auto" w:fill="D9D9D9" w:themeFill="background1" w:themeFillShade="d9" w:val="clear"/>
          </w:tcPr>
          <w:p>
            <w:pPr>
              <w:pStyle w:val="Normal"/>
              <w:widowControl w:val="false"/>
              <w:jc w:val="both"/>
              <w:rPr>
                <w:sz w:val="22"/>
                <w:szCs w:val="22"/>
              </w:rPr>
            </w:pPr>
            <w:r>
              <w:rPr>
                <w:sz w:val="22"/>
                <w:szCs w:val="22"/>
              </w:rPr>
            </w:r>
          </w:p>
        </w:tc>
        <w:tc>
          <w:tcPr>
            <w:tcW w:w="10009" w:type="dxa"/>
            <w:gridSpan w:val="2"/>
            <w:tcBorders/>
            <w:shd w:color="auto" w:fill="D9D9D9" w:themeFill="background1" w:themeFillShade="d9" w:val="clear"/>
          </w:tcPr>
          <w:p>
            <w:pPr>
              <w:pStyle w:val="Normal"/>
              <w:widowControl w:val="false"/>
              <w:jc w:val="right"/>
              <w:rPr/>
            </w:pPr>
            <w:r>
              <w:rPr>
                <w:b/>
                <w:sz w:val="22"/>
                <w:szCs w:val="22"/>
              </w:rPr>
              <w:t xml:space="preserve">UKUPNO </w:t>
            </w:r>
          </w:p>
        </w:tc>
        <w:tc>
          <w:tcPr>
            <w:tcW w:w="1296" w:type="dxa"/>
            <w:tcBorders/>
            <w:shd w:color="auto" w:fill="D9D9D9" w:themeFill="background1" w:themeFillShade="d9" w:val="clear"/>
            <w:vAlign w:val="center"/>
          </w:tcPr>
          <w:p>
            <w:pPr>
              <w:pStyle w:val="Normal"/>
              <w:widowControl w:val="false"/>
              <w:jc w:val="right"/>
              <w:rPr>
                <w:sz w:val="20"/>
                <w:szCs w:val="20"/>
              </w:rPr>
            </w:pPr>
            <w:r>
              <w:rPr>
                <w:b/>
                <w:sz w:val="20"/>
                <w:szCs w:val="20"/>
              </w:rPr>
              <w:t>149.300,00</w:t>
            </w:r>
          </w:p>
        </w:tc>
      </w:tr>
    </w:tbl>
    <w:p>
      <w:pPr>
        <w:pStyle w:val="Normal"/>
        <w:jc w:val="both"/>
        <w:rPr>
          <w:sz w:val="22"/>
          <w:szCs w:val="22"/>
        </w:rPr>
      </w:pPr>
      <w:r>
        <w:rPr>
          <w:sz w:val="22"/>
          <w:szCs w:val="22"/>
        </w:rPr>
      </w:r>
    </w:p>
    <w:p>
      <w:pPr>
        <w:pStyle w:val="Normal"/>
        <w:spacing w:lineRule="auto" w:line="360"/>
        <w:jc w:val="center"/>
        <w:rPr/>
      </w:pPr>
      <w:r>
        <w:rPr>
          <w:b/>
          <w:sz w:val="22"/>
          <w:szCs w:val="22"/>
        </w:rPr>
        <w:t>Članak 4.</w:t>
      </w:r>
    </w:p>
    <w:p>
      <w:pPr>
        <w:pStyle w:val="Normal"/>
        <w:spacing w:lineRule="auto" w:line="264"/>
        <w:rPr/>
      </w:pPr>
      <w:r>
        <w:rPr>
          <w:sz w:val="22"/>
          <w:szCs w:val="22"/>
        </w:rPr>
        <w:tab/>
        <w:t xml:space="preserve">Sredstva iz članka 3. ovog Programa utrošit će se za sljedeće namjene: </w:t>
      </w:r>
    </w:p>
    <w:p>
      <w:pPr>
        <w:pStyle w:val="Normal"/>
        <w:spacing w:lineRule="auto" w:line="264"/>
        <w:rPr>
          <w:sz w:val="22"/>
          <w:szCs w:val="22"/>
        </w:rPr>
      </w:pPr>
      <w:r>
        <w:rPr>
          <w:sz w:val="22"/>
          <w:szCs w:val="22"/>
        </w:rPr>
      </w:r>
    </w:p>
    <w:p>
      <w:pPr>
        <w:pStyle w:val="Normal"/>
        <w:spacing w:lineRule="auto" w:line="264"/>
        <w:rPr>
          <w:b/>
          <w:b/>
          <w:sz w:val="22"/>
          <w:szCs w:val="22"/>
        </w:rPr>
      </w:pPr>
      <w:r>
        <w:rPr>
          <w:b/>
          <w:sz w:val="22"/>
          <w:szCs w:val="22"/>
        </w:rPr>
        <w:t>1. ODRŽAVANJE NERAZVRSTANIH CESTA</w:t>
      </w:r>
    </w:p>
    <w:p>
      <w:pPr>
        <w:pStyle w:val="Normal"/>
        <w:spacing w:lineRule="auto" w:line="264"/>
        <w:jc w:val="both"/>
        <w:rPr>
          <w:sz w:val="22"/>
          <w:szCs w:val="22"/>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tbl>
      <w:tblPr>
        <w:tblStyle w:val="Reetkatablice"/>
        <w:tblW w:w="14859" w:type="dxa"/>
        <w:jc w:val="left"/>
        <w:tblInd w:w="0" w:type="dxa"/>
        <w:tblCellMar>
          <w:top w:w="0" w:type="dxa"/>
          <w:left w:w="108" w:type="dxa"/>
          <w:bottom w:w="0" w:type="dxa"/>
          <w:right w:w="108" w:type="dxa"/>
        </w:tblCellMar>
        <w:tblLook w:firstRow="1" w:noVBand="1" w:lastRow="0" w:firstColumn="1" w:lastColumn="0" w:noHBand="0" w:val="04a0"/>
      </w:tblPr>
      <w:tblGrid>
        <w:gridCol w:w="803"/>
        <w:gridCol w:w="2130"/>
        <w:gridCol w:w="6056"/>
        <w:gridCol w:w="2962"/>
        <w:gridCol w:w="3"/>
        <w:gridCol w:w="2905"/>
      </w:tblGrid>
      <w:tr>
        <w:trPr>
          <w:trHeight w:val="397" w:hRule="atLeast"/>
        </w:trPr>
        <w:tc>
          <w:tcPr>
            <w:tcW w:w="14859" w:type="dxa"/>
            <w:gridSpan w:val="6"/>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803" w:type="dxa"/>
            <w:tcBorders/>
            <w:shd w:color="auto" w:fill="FFFFFF" w:themeFill="background1" w:val="clear"/>
            <w:vAlign w:val="center"/>
          </w:tcPr>
          <w:p>
            <w:pPr>
              <w:pStyle w:val="Normal"/>
              <w:widowControl w:val="false"/>
              <w:jc w:val="center"/>
              <w:rPr/>
            </w:pPr>
            <w:r>
              <w:rPr>
                <w:b/>
                <w:bCs/>
                <w:sz w:val="20"/>
                <w:szCs w:val="20"/>
              </w:rPr>
              <w:t>red.br.</w:t>
            </w:r>
          </w:p>
        </w:tc>
        <w:tc>
          <w:tcPr>
            <w:tcW w:w="2130" w:type="dxa"/>
            <w:tcBorders/>
            <w:shd w:color="auto" w:fill="FFFFFF" w:themeFill="background1" w:val="clear"/>
            <w:vAlign w:val="center"/>
          </w:tcPr>
          <w:p>
            <w:pPr>
              <w:pStyle w:val="Normal"/>
              <w:widowControl w:val="false"/>
              <w:jc w:val="center"/>
              <w:rPr/>
            </w:pPr>
            <w:r>
              <w:rPr>
                <w:b/>
                <w:bCs/>
                <w:sz w:val="20"/>
                <w:szCs w:val="20"/>
              </w:rPr>
              <w:t>Opis poslova</w:t>
            </w:r>
          </w:p>
        </w:tc>
        <w:tc>
          <w:tcPr>
            <w:tcW w:w="6056" w:type="dxa"/>
            <w:tcBorders>
              <w:right w:val="nil"/>
            </w:tcBorders>
            <w:shd w:color="auto" w:fill="FFFFFF" w:themeFill="background1" w:val="clear"/>
            <w:vAlign w:val="center"/>
          </w:tcPr>
          <w:p>
            <w:pPr>
              <w:pStyle w:val="Normal"/>
              <w:widowControl w:val="false"/>
              <w:jc w:val="center"/>
              <w:rPr/>
            </w:pPr>
            <w:r>
              <w:rPr>
                <w:b/>
                <w:bCs/>
                <w:sz w:val="20"/>
                <w:szCs w:val="20"/>
              </w:rPr>
              <w:t>Planirani opseg poslova</w:t>
            </w:r>
          </w:p>
        </w:tc>
        <w:tc>
          <w:tcPr>
            <w:tcW w:w="2962" w:type="dxa"/>
            <w:tcBorders/>
            <w:shd w:color="auto" w:fill="FFFFFF" w:themeFill="background1" w:val="clear"/>
            <w:vAlign w:val="center"/>
          </w:tcPr>
          <w:p>
            <w:pPr>
              <w:pStyle w:val="Normal"/>
              <w:widowControl w:val="false"/>
              <w:jc w:val="both"/>
              <w:rPr/>
            </w:pPr>
            <w:r>
              <w:rPr>
                <w:b/>
                <w:bCs/>
                <w:sz w:val="20"/>
                <w:szCs w:val="20"/>
              </w:rPr>
              <w:t>Izvori financiranja</w:t>
            </w:r>
          </w:p>
        </w:tc>
        <w:tc>
          <w:tcPr>
            <w:tcW w:w="2908" w:type="dxa"/>
            <w:gridSpan w:val="2"/>
            <w:tcBorders/>
            <w:shd w:color="auto" w:fill="FFFFFF" w:themeFill="background1" w:val="clear"/>
            <w:vAlign w:val="center"/>
          </w:tcPr>
          <w:p>
            <w:pPr>
              <w:pStyle w:val="Normal"/>
              <w:widowControl w:val="false"/>
              <w:jc w:val="center"/>
              <w:rPr/>
            </w:pPr>
            <w:r>
              <w:rPr>
                <w:b/>
                <w:bCs/>
                <w:sz w:val="20"/>
                <w:szCs w:val="20"/>
              </w:rPr>
              <w:t>Planirano ukupno (EUR)</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1.1.</w:t>
            </w:r>
          </w:p>
        </w:tc>
        <w:tc>
          <w:tcPr>
            <w:tcW w:w="2130" w:type="dxa"/>
            <w:tcBorders/>
            <w:shd w:color="auto" w:fill="FFFFFF" w:themeFill="background1" w:val="clear"/>
            <w:vAlign w:val="center"/>
          </w:tcPr>
          <w:p>
            <w:pPr>
              <w:pStyle w:val="Normal"/>
              <w:widowControl w:val="false"/>
              <w:jc w:val="both"/>
              <w:rPr/>
            </w:pPr>
            <w:r>
              <w:rPr>
                <w:sz w:val="20"/>
                <w:szCs w:val="20"/>
              </w:rPr>
              <w:t>Prijevoz materijala po cestama</w:t>
            </w:r>
          </w:p>
        </w:tc>
        <w:tc>
          <w:tcPr>
            <w:tcW w:w="6056" w:type="dxa"/>
            <w:tcBorders>
              <w:right w:val="nil"/>
            </w:tcBorders>
            <w:shd w:color="auto" w:fill="FFFFFF" w:themeFill="background1" w:val="clear"/>
            <w:vAlign w:val="center"/>
          </w:tcPr>
          <w:p>
            <w:pPr>
              <w:pStyle w:val="Normal"/>
              <w:widowControl w:val="false"/>
              <w:jc w:val="both"/>
              <w:textAlignment w:val="baseline"/>
              <w:rPr/>
            </w:pPr>
            <w:r>
              <w:rPr>
                <w:sz w:val="20"/>
                <w:szCs w:val="20"/>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2962"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2908" w:type="dxa"/>
            <w:gridSpan w:val="2"/>
            <w:tcBorders/>
            <w:shd w:color="auto" w:fill="FFFFFF" w:themeFill="background1" w:val="clear"/>
            <w:vAlign w:val="center"/>
          </w:tcPr>
          <w:p>
            <w:pPr>
              <w:pStyle w:val="Normal"/>
              <w:widowControl w:val="false"/>
              <w:jc w:val="center"/>
              <w:rPr/>
            </w:pPr>
            <w:r>
              <w:rPr>
                <w:sz w:val="20"/>
                <w:szCs w:val="20"/>
              </w:rPr>
              <w:t>15.000,00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1.2.</w:t>
            </w:r>
          </w:p>
        </w:tc>
        <w:tc>
          <w:tcPr>
            <w:tcW w:w="2130" w:type="dxa"/>
            <w:tcBorders/>
            <w:shd w:color="auto" w:fill="FFFFFF" w:themeFill="background1" w:val="clear"/>
            <w:vAlign w:val="center"/>
          </w:tcPr>
          <w:p>
            <w:pPr>
              <w:pStyle w:val="Normal"/>
              <w:widowControl w:val="false"/>
              <w:jc w:val="both"/>
              <w:rPr/>
            </w:pPr>
            <w:r>
              <w:rPr>
                <w:sz w:val="20"/>
                <w:szCs w:val="20"/>
              </w:rPr>
              <w:t>Rad strojem</w:t>
            </w:r>
          </w:p>
        </w:tc>
        <w:tc>
          <w:tcPr>
            <w:tcW w:w="6056" w:type="dxa"/>
            <w:tcBorders>
              <w:right w:val="nil"/>
            </w:tcBorders>
            <w:shd w:color="auto" w:fill="FFFFFF" w:themeFill="background1" w:val="clear"/>
            <w:vAlign w:val="center"/>
          </w:tcPr>
          <w:p>
            <w:pPr>
              <w:pStyle w:val="Normal"/>
              <w:widowControl w:val="false"/>
              <w:jc w:val="both"/>
              <w:rPr/>
            </w:pPr>
            <w:r>
              <w:rPr>
                <w:sz w:val="20"/>
                <w:szCs w:val="20"/>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2962"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2908" w:type="dxa"/>
            <w:gridSpan w:val="2"/>
            <w:tcBorders/>
            <w:shd w:color="auto" w:fill="FFFFFF" w:themeFill="background1" w:val="clear"/>
            <w:vAlign w:val="center"/>
          </w:tcPr>
          <w:p>
            <w:pPr>
              <w:pStyle w:val="Normal"/>
              <w:widowControl w:val="false"/>
              <w:jc w:val="center"/>
              <w:rPr/>
            </w:pPr>
            <w:r>
              <w:rPr>
                <w:sz w:val="20"/>
                <w:szCs w:val="20"/>
              </w:rPr>
              <w:t>15.000,00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1.3.</w:t>
            </w:r>
          </w:p>
        </w:tc>
        <w:tc>
          <w:tcPr>
            <w:tcW w:w="2130" w:type="dxa"/>
            <w:tcBorders/>
            <w:shd w:color="auto" w:fill="FFFFFF" w:themeFill="background1" w:val="clear"/>
            <w:vAlign w:val="center"/>
          </w:tcPr>
          <w:p>
            <w:pPr>
              <w:pStyle w:val="Normal"/>
              <w:widowControl w:val="false"/>
              <w:jc w:val="both"/>
              <w:rPr/>
            </w:pPr>
            <w:r>
              <w:rPr>
                <w:sz w:val="20"/>
                <w:szCs w:val="20"/>
              </w:rPr>
              <w:t>Košnja bankina uz nerazvrstanu cestu i zemljišta u vlasništvu općine</w:t>
            </w:r>
          </w:p>
        </w:tc>
        <w:tc>
          <w:tcPr>
            <w:tcW w:w="6056" w:type="dxa"/>
            <w:tcBorders>
              <w:right w:val="nil"/>
            </w:tcBorders>
            <w:shd w:color="auto" w:fill="FFFFFF" w:themeFill="background1" w:val="clear"/>
            <w:vAlign w:val="center"/>
          </w:tcPr>
          <w:p>
            <w:pPr>
              <w:pStyle w:val="Normal"/>
              <w:widowControl w:val="false"/>
              <w:jc w:val="both"/>
              <w:rPr/>
            </w:pPr>
            <w:r>
              <w:rPr>
                <w:rFonts w:cs="Arial"/>
                <w:sz w:val="20"/>
                <w:szCs w:val="20"/>
                <w:lang w:val="hr-BA"/>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2962" w:type="dxa"/>
            <w:tcBorders/>
            <w:shd w:color="auto" w:fill="FFFFFF" w:themeFill="background1" w:val="clear"/>
            <w:vAlign w:val="center"/>
          </w:tcPr>
          <w:p>
            <w:pPr>
              <w:pStyle w:val="Normal"/>
              <w:jc w:val="both"/>
              <w:rPr/>
            </w:pPr>
            <w:r>
              <w:rPr>
                <w:sz w:val="20"/>
                <w:szCs w:val="20"/>
              </w:rPr>
              <w:t xml:space="preserve">Proračun Općine = 17.000,00 EUR (43- </w:t>
            </w:r>
            <w:bookmarkStart w:id="1" w:name="__DdeLink__1600_3760088224"/>
            <w:r>
              <w:rPr>
                <w:sz w:val="20"/>
                <w:szCs w:val="20"/>
              </w:rPr>
              <w:t>prihodi za posebne namjene</w:t>
            </w:r>
            <w:bookmarkEnd w:id="1"/>
            <w:r>
              <w:rPr>
                <w:sz w:val="20"/>
                <w:szCs w:val="20"/>
              </w:rPr>
              <w:t>)</w:t>
            </w:r>
          </w:p>
        </w:tc>
        <w:tc>
          <w:tcPr>
            <w:tcW w:w="2908" w:type="dxa"/>
            <w:gridSpan w:val="2"/>
            <w:tcBorders/>
            <w:shd w:color="auto" w:fill="FFFFFF" w:themeFill="background1" w:val="clear"/>
            <w:vAlign w:val="center"/>
          </w:tcPr>
          <w:p>
            <w:pPr>
              <w:pStyle w:val="Normal"/>
              <w:widowControl w:val="false"/>
              <w:jc w:val="center"/>
              <w:rPr/>
            </w:pPr>
            <w:r>
              <w:rPr>
                <w:sz w:val="20"/>
                <w:szCs w:val="20"/>
              </w:rPr>
              <w:t>17.000,00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1.5.</w:t>
            </w:r>
          </w:p>
        </w:tc>
        <w:tc>
          <w:tcPr>
            <w:tcW w:w="2130" w:type="dxa"/>
            <w:tcBorders/>
            <w:shd w:color="auto" w:fill="FFFFFF" w:themeFill="background1" w:val="clear"/>
            <w:vAlign w:val="center"/>
          </w:tcPr>
          <w:p>
            <w:pPr>
              <w:pStyle w:val="Normal"/>
              <w:widowControl w:val="false"/>
              <w:jc w:val="both"/>
              <w:rPr/>
            </w:pPr>
            <w:r>
              <w:rPr>
                <w:sz w:val="20"/>
                <w:szCs w:val="20"/>
              </w:rPr>
              <w:t>Izdaci za zimsku službu</w:t>
            </w:r>
          </w:p>
        </w:tc>
        <w:tc>
          <w:tcPr>
            <w:tcW w:w="6056" w:type="dxa"/>
            <w:tcBorders>
              <w:right w:val="nil"/>
            </w:tcBorders>
            <w:shd w:color="auto" w:fill="FFFFFF" w:themeFill="background1" w:val="clear"/>
            <w:vAlign w:val="center"/>
          </w:tcPr>
          <w:p>
            <w:pPr>
              <w:pStyle w:val="Normal"/>
              <w:widowControl w:val="false"/>
              <w:jc w:val="both"/>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2962" w:type="dxa"/>
            <w:tcBorders/>
            <w:shd w:color="auto" w:fill="FFFFFF" w:themeFill="background1" w:val="clear"/>
            <w:vAlign w:val="center"/>
          </w:tcPr>
          <w:p>
            <w:pPr>
              <w:pStyle w:val="Normal"/>
              <w:jc w:val="both"/>
              <w:rPr/>
            </w:pPr>
            <w:r>
              <w:rPr>
                <w:sz w:val="20"/>
                <w:szCs w:val="20"/>
              </w:rPr>
              <w:t>Proračun Općine = 10.000,00 EUR (43- prihodi za posebne namjene)</w:t>
            </w:r>
          </w:p>
        </w:tc>
        <w:tc>
          <w:tcPr>
            <w:tcW w:w="2908" w:type="dxa"/>
            <w:gridSpan w:val="2"/>
            <w:tcBorders/>
            <w:shd w:color="auto" w:fill="FFFFFF" w:themeFill="background1" w:val="clear"/>
            <w:vAlign w:val="center"/>
          </w:tcPr>
          <w:p>
            <w:pPr>
              <w:pStyle w:val="Normal"/>
              <w:widowControl w:val="false"/>
              <w:jc w:val="center"/>
              <w:rPr/>
            </w:pPr>
            <w:r>
              <w:rPr>
                <w:sz w:val="20"/>
                <w:szCs w:val="20"/>
              </w:rPr>
              <w:t>10.000,00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1.6.</w:t>
            </w:r>
          </w:p>
        </w:tc>
        <w:tc>
          <w:tcPr>
            <w:tcW w:w="2130" w:type="dxa"/>
            <w:tcBorders/>
            <w:shd w:color="auto" w:fill="FFFFFF" w:themeFill="background1" w:val="clear"/>
            <w:vAlign w:val="center"/>
          </w:tcPr>
          <w:p>
            <w:pPr>
              <w:pStyle w:val="Normal"/>
              <w:widowControl w:val="false"/>
              <w:jc w:val="both"/>
              <w:rPr/>
            </w:pPr>
            <w:r>
              <w:rPr>
                <w:sz w:val="20"/>
                <w:szCs w:val="20"/>
              </w:rPr>
              <w:t>Kameni materijal za ceste</w:t>
            </w:r>
          </w:p>
        </w:tc>
        <w:tc>
          <w:tcPr>
            <w:tcW w:w="6056" w:type="dxa"/>
            <w:tcBorders>
              <w:right w:val="nil"/>
            </w:tcBorders>
            <w:shd w:color="auto" w:fill="FFFFFF" w:themeFill="background1" w:val="clear"/>
            <w:vAlign w:val="center"/>
          </w:tcPr>
          <w:p>
            <w:pPr>
              <w:pStyle w:val="Normal"/>
              <w:widowControl w:val="false"/>
              <w:jc w:val="both"/>
              <w:rPr/>
            </w:pPr>
            <w:r>
              <w:rPr>
                <w:sz w:val="20"/>
                <w:szCs w:val="20"/>
              </w:rPr>
              <w:t xml:space="preserve">Nabava kamenog materijala raspoređuje se prema planovima mjesnih odbora i sukladno potrebama na terenu. </w:t>
            </w:r>
          </w:p>
        </w:tc>
        <w:tc>
          <w:tcPr>
            <w:tcW w:w="2962" w:type="dxa"/>
            <w:tcBorders/>
            <w:shd w:color="auto" w:fill="FFFFFF" w:themeFill="background1" w:val="clear"/>
            <w:vAlign w:val="center"/>
          </w:tcPr>
          <w:p>
            <w:pPr>
              <w:pStyle w:val="Normal"/>
              <w:jc w:val="both"/>
              <w:rPr/>
            </w:pPr>
            <w:r>
              <w:rPr>
                <w:sz w:val="20"/>
                <w:szCs w:val="20"/>
              </w:rPr>
              <w:t>Proračun Općine = 12.000,00 EUR (11- opći prihodi i primici)</w:t>
            </w:r>
          </w:p>
        </w:tc>
        <w:tc>
          <w:tcPr>
            <w:tcW w:w="2908" w:type="dxa"/>
            <w:gridSpan w:val="2"/>
            <w:tcBorders/>
            <w:shd w:color="auto" w:fill="FFFFFF" w:themeFill="background1" w:val="clear"/>
            <w:vAlign w:val="center"/>
          </w:tcPr>
          <w:p>
            <w:pPr>
              <w:pStyle w:val="Normal"/>
              <w:widowControl w:val="false"/>
              <w:jc w:val="center"/>
              <w:rPr/>
            </w:pPr>
            <w:r>
              <w:rPr>
                <w:sz w:val="20"/>
                <w:szCs w:val="20"/>
              </w:rPr>
              <w:t>12.000,00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1.7.</w:t>
            </w:r>
          </w:p>
        </w:tc>
        <w:tc>
          <w:tcPr>
            <w:tcW w:w="2130" w:type="dxa"/>
            <w:tcBorders/>
            <w:shd w:color="auto" w:fill="FFFFFF" w:themeFill="background1" w:val="clear"/>
            <w:vAlign w:val="center"/>
          </w:tcPr>
          <w:p>
            <w:pPr>
              <w:pStyle w:val="Normal"/>
              <w:widowControl w:val="false"/>
              <w:jc w:val="both"/>
              <w:rPr/>
            </w:pPr>
            <w:r>
              <w:rPr>
                <w:sz w:val="20"/>
                <w:szCs w:val="20"/>
              </w:rPr>
              <w:t>Cijevi za ceste i odvodnju</w:t>
            </w:r>
          </w:p>
        </w:tc>
        <w:tc>
          <w:tcPr>
            <w:tcW w:w="6056" w:type="dxa"/>
            <w:tcBorders>
              <w:right w:val="nil"/>
            </w:tcBorders>
            <w:shd w:color="auto" w:fill="FFFFFF" w:themeFill="background1" w:val="clear"/>
            <w:vAlign w:val="center"/>
          </w:tcPr>
          <w:p>
            <w:pPr>
              <w:pStyle w:val="Normal"/>
              <w:widowControl w:val="false"/>
              <w:jc w:val="both"/>
              <w:rPr/>
            </w:pPr>
            <w:r>
              <w:rPr>
                <w:sz w:val="20"/>
                <w:szCs w:val="20"/>
              </w:rPr>
              <w:t>Sukladno planovima mjesnih odbora i potrebama na terenu betonske cijevi, kanalice, rešetke i sl.</w:t>
            </w:r>
          </w:p>
        </w:tc>
        <w:tc>
          <w:tcPr>
            <w:tcW w:w="2962" w:type="dxa"/>
            <w:tcBorders/>
            <w:shd w:color="auto" w:fill="FFFFFF" w:themeFill="background1" w:val="clear"/>
            <w:vAlign w:val="center"/>
          </w:tcPr>
          <w:p>
            <w:pPr>
              <w:pStyle w:val="Normal"/>
              <w:jc w:val="both"/>
              <w:rPr/>
            </w:pPr>
            <w:r>
              <w:rPr>
                <w:sz w:val="20"/>
                <w:szCs w:val="20"/>
              </w:rPr>
              <w:t>Proračun Općine=3.000,00 EUR (11- opći prihodi i primici)</w:t>
            </w:r>
          </w:p>
        </w:tc>
        <w:tc>
          <w:tcPr>
            <w:tcW w:w="2908" w:type="dxa"/>
            <w:gridSpan w:val="2"/>
            <w:tcBorders/>
            <w:shd w:color="auto" w:fill="FFFFFF" w:themeFill="background1" w:val="clear"/>
            <w:vAlign w:val="center"/>
          </w:tcPr>
          <w:p>
            <w:pPr>
              <w:pStyle w:val="Normal"/>
              <w:widowControl w:val="false"/>
              <w:jc w:val="center"/>
              <w:rPr/>
            </w:pPr>
            <w:r>
              <w:rPr>
                <w:sz w:val="20"/>
                <w:szCs w:val="20"/>
              </w:rPr>
              <w:t>3.000,00</w:t>
            </w:r>
          </w:p>
        </w:tc>
      </w:tr>
      <w:tr>
        <w:trPr>
          <w:trHeight w:val="340" w:hRule="atLeast"/>
        </w:trPr>
        <w:tc>
          <w:tcPr>
            <w:tcW w:w="803" w:type="dxa"/>
            <w:tcBorders/>
            <w:shd w:color="auto" w:fill="FFFFFF" w:themeFill="background1" w:val="clear"/>
            <w:vAlign w:val="center"/>
          </w:tcPr>
          <w:p>
            <w:pPr>
              <w:pStyle w:val="Normal"/>
              <w:widowControl w:val="false"/>
              <w:jc w:val="center"/>
              <w:rPr/>
            </w:pPr>
            <w:r>
              <w:rPr>
                <w:sz w:val="20"/>
                <w:szCs w:val="20"/>
              </w:rPr>
              <w:t>1.8.</w:t>
            </w:r>
          </w:p>
        </w:tc>
        <w:tc>
          <w:tcPr>
            <w:tcW w:w="2130" w:type="dxa"/>
            <w:tcBorders/>
            <w:shd w:color="auto" w:fill="FFFFFF" w:themeFill="background1" w:val="clear"/>
            <w:vAlign w:val="center"/>
          </w:tcPr>
          <w:p>
            <w:pPr>
              <w:pStyle w:val="Normal"/>
              <w:widowControl w:val="false"/>
              <w:jc w:val="both"/>
              <w:rPr/>
            </w:pPr>
            <w:r>
              <w:rPr>
                <w:sz w:val="20"/>
                <w:szCs w:val="20"/>
              </w:rPr>
              <w:t>Prometni znakovi, putokazi i prometna ogledala</w:t>
            </w:r>
          </w:p>
        </w:tc>
        <w:tc>
          <w:tcPr>
            <w:tcW w:w="6056" w:type="dxa"/>
            <w:tcBorders>
              <w:right w:val="nil"/>
            </w:tcBorders>
            <w:shd w:color="auto" w:fill="FFFFFF" w:themeFill="background1" w:val="clear"/>
            <w:vAlign w:val="center"/>
          </w:tcPr>
          <w:p>
            <w:pPr>
              <w:pStyle w:val="Normal"/>
              <w:widowControl w:val="false"/>
              <w:jc w:val="both"/>
              <w:rPr/>
            </w:pPr>
            <w:r>
              <w:rPr>
                <w:sz w:val="20"/>
                <w:szCs w:val="20"/>
              </w:rPr>
              <w:t xml:space="preserve">Sukladno planovima mjesnih odbora i potrebama na terenu (prometni znakovi,putokazi i prometna ogledala). </w:t>
            </w:r>
          </w:p>
        </w:tc>
        <w:tc>
          <w:tcPr>
            <w:tcW w:w="2962" w:type="dxa"/>
            <w:tcBorders/>
            <w:shd w:color="auto" w:fill="FFFFFF" w:themeFill="background1" w:val="clear"/>
            <w:vAlign w:val="center"/>
          </w:tcPr>
          <w:p>
            <w:pPr>
              <w:pStyle w:val="Normal"/>
              <w:jc w:val="both"/>
              <w:rPr/>
            </w:pPr>
            <w:r>
              <w:rPr>
                <w:sz w:val="20"/>
                <w:szCs w:val="20"/>
              </w:rPr>
              <w:t>Proračun Općine=2.000,00 EUR (11- opći prihodi i primici)</w:t>
            </w:r>
          </w:p>
        </w:tc>
        <w:tc>
          <w:tcPr>
            <w:tcW w:w="2908" w:type="dxa"/>
            <w:gridSpan w:val="2"/>
            <w:tcBorders/>
            <w:shd w:color="auto" w:fill="FFFFFF" w:themeFill="background1" w:val="clear"/>
            <w:vAlign w:val="center"/>
          </w:tcPr>
          <w:p>
            <w:pPr>
              <w:pStyle w:val="Normal"/>
              <w:widowControl w:val="false"/>
              <w:jc w:val="center"/>
              <w:rPr/>
            </w:pPr>
            <w:r>
              <w:rPr>
                <w:sz w:val="20"/>
                <w:szCs w:val="20"/>
              </w:rPr>
              <w:t>2.000,00</w:t>
            </w:r>
          </w:p>
        </w:tc>
      </w:tr>
      <w:tr>
        <w:trPr>
          <w:trHeight w:val="340" w:hRule="atLeast"/>
        </w:trPr>
        <w:tc>
          <w:tcPr>
            <w:tcW w:w="11954"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2905" w:type="dxa"/>
            <w:tcBorders/>
            <w:shd w:color="auto" w:fill="auto" w:val="clear"/>
            <w:vAlign w:val="center"/>
          </w:tcPr>
          <w:p>
            <w:pPr>
              <w:pStyle w:val="Normal"/>
              <w:widowControl w:val="false"/>
              <w:jc w:val="center"/>
              <w:rPr/>
            </w:pPr>
            <w:r>
              <w:rPr>
                <w:b/>
                <w:sz w:val="20"/>
                <w:szCs w:val="20"/>
              </w:rPr>
              <w:t>74.000,00</w:t>
            </w:r>
          </w:p>
        </w:tc>
      </w:tr>
    </w:tbl>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2025. godinu obuhvaćeni su svi uređeni dijelovi naselja Općine, a u ostalim naseljima uređeni parkovi i dječja igrališta.</w:t>
      </w:r>
    </w:p>
    <w:p>
      <w:pPr>
        <w:pStyle w:val="Normal"/>
        <w:spacing w:lineRule="auto" w:line="264"/>
        <w:jc w:val="both"/>
        <w:rPr>
          <w:sz w:val="22"/>
          <w:szCs w:val="22"/>
        </w:rPr>
      </w:pPr>
      <w:r>
        <w:rPr>
          <w:sz w:val="22"/>
          <w:szCs w:val="22"/>
        </w:rPr>
        <w:tab/>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tbl>
      <w:tblPr>
        <w:tblStyle w:val="Reetkatablice"/>
        <w:tblW w:w="14864" w:type="dxa"/>
        <w:jc w:val="left"/>
        <w:tblInd w:w="-7" w:type="dxa"/>
        <w:tblCellMar>
          <w:top w:w="0" w:type="dxa"/>
          <w:left w:w="108" w:type="dxa"/>
          <w:bottom w:w="0" w:type="dxa"/>
          <w:right w:w="108" w:type="dxa"/>
        </w:tblCellMar>
        <w:tblLook w:firstRow="1" w:noVBand="1" w:lastRow="0" w:firstColumn="1" w:lastColumn="0" w:noHBand="0" w:val="04a0"/>
      </w:tblPr>
      <w:tblGrid>
        <w:gridCol w:w="804"/>
        <w:gridCol w:w="2092"/>
        <w:gridCol w:w="6075"/>
        <w:gridCol w:w="2972"/>
        <w:gridCol w:w="1"/>
        <w:gridCol w:w="2920"/>
      </w:tblGrid>
      <w:tr>
        <w:trPr>
          <w:trHeight w:val="397" w:hRule="atLeast"/>
        </w:trPr>
        <w:tc>
          <w:tcPr>
            <w:tcW w:w="14864" w:type="dxa"/>
            <w:gridSpan w:val="6"/>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r>
      <w:tr>
        <w:trPr>
          <w:trHeight w:val="397" w:hRule="atLeast"/>
        </w:trPr>
        <w:tc>
          <w:tcPr>
            <w:tcW w:w="804" w:type="dxa"/>
            <w:tcBorders/>
            <w:shd w:color="auto" w:fill="FFFFFF" w:themeFill="background1" w:val="clear"/>
            <w:vAlign w:val="center"/>
          </w:tcPr>
          <w:p>
            <w:pPr>
              <w:pStyle w:val="Normal"/>
              <w:widowControl w:val="false"/>
              <w:jc w:val="center"/>
              <w:rPr/>
            </w:pPr>
            <w:r>
              <w:rPr>
                <w:b/>
                <w:bCs/>
                <w:sz w:val="20"/>
                <w:szCs w:val="20"/>
              </w:rPr>
              <w:t>red.br.</w:t>
            </w:r>
          </w:p>
        </w:tc>
        <w:tc>
          <w:tcPr>
            <w:tcW w:w="2092"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6075"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972"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2921" w:type="dxa"/>
            <w:gridSpan w:val="2"/>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r>
      <w:tr>
        <w:trPr>
          <w:trHeight w:val="340" w:hRule="atLeast"/>
        </w:trPr>
        <w:tc>
          <w:tcPr>
            <w:tcW w:w="804" w:type="dxa"/>
            <w:tcBorders/>
            <w:shd w:color="auto" w:fill="FFFFFF" w:themeFill="background1" w:val="clear"/>
            <w:vAlign w:val="center"/>
          </w:tcPr>
          <w:p>
            <w:pPr>
              <w:pStyle w:val="Normal"/>
              <w:widowControl w:val="false"/>
              <w:jc w:val="both"/>
              <w:rPr>
                <w:sz w:val="22"/>
                <w:szCs w:val="22"/>
              </w:rPr>
            </w:pPr>
            <w:r>
              <w:rPr>
                <w:sz w:val="20"/>
                <w:szCs w:val="20"/>
              </w:rPr>
              <w:t>2.1.</w:t>
            </w:r>
          </w:p>
        </w:tc>
        <w:tc>
          <w:tcPr>
            <w:tcW w:w="2092"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6075"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972"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921" w:type="dxa"/>
            <w:gridSpan w:val="2"/>
            <w:tcBorders/>
            <w:shd w:color="auto" w:fill="FFFFFF" w:themeFill="background1" w:val="clear"/>
            <w:vAlign w:val="center"/>
          </w:tcPr>
          <w:p>
            <w:pPr>
              <w:pStyle w:val="Normal"/>
              <w:widowControl w:val="false"/>
              <w:jc w:val="center"/>
              <w:rPr>
                <w:sz w:val="20"/>
                <w:szCs w:val="20"/>
              </w:rPr>
            </w:pPr>
            <w:r>
              <w:rPr>
                <w:sz w:val="20"/>
                <w:szCs w:val="20"/>
              </w:rPr>
              <w:t>2.000,00</w:t>
            </w:r>
          </w:p>
        </w:tc>
      </w:tr>
      <w:tr>
        <w:trPr>
          <w:trHeight w:val="340" w:hRule="atLeast"/>
        </w:trPr>
        <w:tc>
          <w:tcPr>
            <w:tcW w:w="804" w:type="dxa"/>
            <w:tcBorders/>
            <w:shd w:color="auto" w:fill="FFFFFF" w:themeFill="background1" w:val="clear"/>
            <w:vAlign w:val="center"/>
          </w:tcPr>
          <w:p>
            <w:pPr>
              <w:pStyle w:val="Normal"/>
              <w:widowControl w:val="false"/>
              <w:jc w:val="both"/>
              <w:rPr>
                <w:sz w:val="22"/>
                <w:szCs w:val="22"/>
              </w:rPr>
            </w:pPr>
            <w:r>
              <w:rPr>
                <w:sz w:val="20"/>
                <w:szCs w:val="20"/>
              </w:rPr>
              <w:t>2.2.</w:t>
            </w:r>
          </w:p>
        </w:tc>
        <w:tc>
          <w:tcPr>
            <w:tcW w:w="2092"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6075"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972"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Općine=1.500,00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921" w:type="dxa"/>
            <w:gridSpan w:val="2"/>
            <w:tcBorders/>
            <w:shd w:color="auto" w:fill="FFFFFF" w:themeFill="background1" w:val="clear"/>
            <w:vAlign w:val="center"/>
          </w:tcPr>
          <w:p>
            <w:pPr>
              <w:pStyle w:val="Normal"/>
              <w:widowControl w:val="false"/>
              <w:jc w:val="center"/>
              <w:rPr>
                <w:sz w:val="20"/>
                <w:szCs w:val="20"/>
              </w:rPr>
            </w:pPr>
            <w:r>
              <w:rPr>
                <w:sz w:val="20"/>
                <w:szCs w:val="20"/>
              </w:rPr>
              <w:t>1.500,00</w:t>
            </w:r>
          </w:p>
        </w:tc>
      </w:tr>
      <w:tr>
        <w:trPr>
          <w:trHeight w:val="340" w:hRule="atLeast"/>
        </w:trPr>
        <w:tc>
          <w:tcPr>
            <w:tcW w:w="804" w:type="dxa"/>
            <w:tcBorders/>
            <w:shd w:color="auto" w:fill="FFFFFF" w:themeFill="background1" w:val="clear"/>
            <w:vAlign w:val="center"/>
          </w:tcPr>
          <w:p>
            <w:pPr>
              <w:pStyle w:val="Normal"/>
              <w:widowControl w:val="false"/>
              <w:jc w:val="both"/>
              <w:rPr>
                <w:sz w:val="22"/>
                <w:szCs w:val="22"/>
              </w:rPr>
            </w:pPr>
            <w:r>
              <w:rPr>
                <w:sz w:val="20"/>
                <w:szCs w:val="20"/>
              </w:rPr>
              <w:t>2.3.</w:t>
            </w:r>
          </w:p>
        </w:tc>
        <w:tc>
          <w:tcPr>
            <w:tcW w:w="2092"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6075"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972"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2921" w:type="dxa"/>
            <w:gridSpan w:val="2"/>
            <w:tcBorders/>
            <w:shd w:color="auto" w:fill="FFFFFF" w:themeFill="background1" w:val="clear"/>
            <w:vAlign w:val="center"/>
          </w:tcPr>
          <w:p>
            <w:pPr>
              <w:pStyle w:val="Normal"/>
              <w:widowControl w:val="false"/>
              <w:jc w:val="center"/>
              <w:rPr>
                <w:sz w:val="20"/>
                <w:szCs w:val="20"/>
              </w:rPr>
            </w:pPr>
            <w:r>
              <w:rPr>
                <w:sz w:val="20"/>
                <w:szCs w:val="20"/>
              </w:rPr>
              <w:t>5.000,00</w:t>
            </w:r>
          </w:p>
        </w:tc>
      </w:tr>
      <w:tr>
        <w:trPr>
          <w:trHeight w:val="340" w:hRule="atLeast"/>
        </w:trPr>
        <w:tc>
          <w:tcPr>
            <w:tcW w:w="804" w:type="dxa"/>
            <w:tcBorders/>
            <w:shd w:color="auto" w:fill="FFFFFF" w:themeFill="background1" w:val="clear"/>
            <w:vAlign w:val="center"/>
          </w:tcPr>
          <w:p>
            <w:pPr>
              <w:pStyle w:val="Normal"/>
              <w:widowControl w:val="false"/>
              <w:jc w:val="both"/>
              <w:rPr>
                <w:sz w:val="22"/>
                <w:szCs w:val="22"/>
              </w:rPr>
            </w:pPr>
            <w:r>
              <w:rPr>
                <w:sz w:val="20"/>
                <w:szCs w:val="20"/>
              </w:rPr>
              <w:t>2.4.</w:t>
            </w:r>
          </w:p>
        </w:tc>
        <w:tc>
          <w:tcPr>
            <w:tcW w:w="2092"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6075" w:type="dxa"/>
            <w:tcBorders/>
            <w:shd w:color="auto" w:fill="FFFFFF" w:themeFill="background1" w:val="clear"/>
            <w:vAlign w:val="center"/>
          </w:tcPr>
          <w:p>
            <w:pPr>
              <w:pStyle w:val="Normal"/>
              <w:widowControl w:val="false"/>
              <w:jc w:val="both"/>
              <w:rPr>
                <w:sz w:val="20"/>
                <w:szCs w:val="20"/>
              </w:rPr>
            </w:pPr>
            <w:r>
              <w:rPr>
                <w:sz w:val="20"/>
                <w:szCs w:val="20"/>
              </w:rPr>
              <w:t xml:space="preserve">Nivelacija terena, iskop kamenih ostataka ruševine i starih panjeva. Košenje, flaksanje terena i slično  </w:t>
            </w:r>
          </w:p>
        </w:tc>
        <w:tc>
          <w:tcPr>
            <w:tcW w:w="2972"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921" w:type="dxa"/>
            <w:gridSpan w:val="2"/>
            <w:tcBorders/>
            <w:shd w:color="auto" w:fill="FFFFFF" w:themeFill="background1" w:val="clear"/>
            <w:vAlign w:val="center"/>
          </w:tcPr>
          <w:p>
            <w:pPr>
              <w:pStyle w:val="Normal"/>
              <w:widowControl w:val="false"/>
              <w:jc w:val="center"/>
              <w:rPr>
                <w:sz w:val="20"/>
                <w:szCs w:val="20"/>
              </w:rPr>
            </w:pPr>
            <w:r>
              <w:rPr>
                <w:sz w:val="20"/>
                <w:szCs w:val="20"/>
              </w:rPr>
              <w:t>8.000,00</w:t>
            </w:r>
          </w:p>
        </w:tc>
      </w:tr>
      <w:tr>
        <w:trPr>
          <w:trHeight w:val="340" w:hRule="atLeast"/>
        </w:trPr>
        <w:tc>
          <w:tcPr>
            <w:tcW w:w="804" w:type="dxa"/>
            <w:tcBorders>
              <w:top w:val="nil"/>
            </w:tcBorders>
            <w:shd w:color="auto" w:fill="FFFFFF" w:themeFill="background1" w:val="clear"/>
            <w:vAlign w:val="center"/>
          </w:tcPr>
          <w:p>
            <w:pPr>
              <w:pStyle w:val="Normal"/>
              <w:widowControl w:val="false"/>
              <w:jc w:val="both"/>
              <w:rPr>
                <w:sz w:val="22"/>
                <w:szCs w:val="22"/>
              </w:rPr>
            </w:pPr>
            <w:r>
              <w:rPr>
                <w:sz w:val="20"/>
                <w:szCs w:val="20"/>
              </w:rPr>
              <w:t>2.5.</w:t>
            </w:r>
          </w:p>
        </w:tc>
        <w:tc>
          <w:tcPr>
            <w:tcW w:w="2092" w:type="dxa"/>
            <w:tcBorders>
              <w:top w:val="nil"/>
            </w:tcBorders>
            <w:shd w:color="auto" w:fill="FFFFFF" w:themeFill="background1" w:val="clear"/>
            <w:vAlign w:val="center"/>
          </w:tcPr>
          <w:p>
            <w:pPr>
              <w:pStyle w:val="Normal"/>
              <w:widowControl w:val="false"/>
              <w:jc w:val="both"/>
              <w:rPr>
                <w:sz w:val="20"/>
                <w:szCs w:val="20"/>
              </w:rPr>
            </w:pPr>
            <w:r>
              <w:rPr>
                <w:sz w:val="20"/>
                <w:szCs w:val="20"/>
              </w:rPr>
              <w:t>Centar – uređenje zelene površine (kraj šetnice)</w:t>
            </w:r>
          </w:p>
        </w:tc>
        <w:tc>
          <w:tcPr>
            <w:tcW w:w="6075"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972"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Općine=6.000,00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921" w:type="dxa"/>
            <w:gridSpan w:val="2"/>
            <w:tcBorders/>
            <w:shd w:color="auto" w:fill="FFFFFF" w:themeFill="background1" w:val="clear"/>
            <w:vAlign w:val="center"/>
          </w:tcPr>
          <w:p>
            <w:pPr>
              <w:pStyle w:val="Normal"/>
              <w:widowControl w:val="false"/>
              <w:jc w:val="center"/>
              <w:rPr>
                <w:sz w:val="20"/>
                <w:szCs w:val="20"/>
              </w:rPr>
            </w:pPr>
            <w:r>
              <w:rPr>
                <w:sz w:val="20"/>
                <w:szCs w:val="20"/>
              </w:rPr>
              <w:t>6.000,00</w:t>
            </w:r>
          </w:p>
        </w:tc>
      </w:tr>
      <w:tr>
        <w:trPr>
          <w:trHeight w:val="340" w:hRule="atLeast"/>
        </w:trPr>
        <w:tc>
          <w:tcPr>
            <w:tcW w:w="804" w:type="dxa"/>
            <w:tcBorders>
              <w:top w:val="nil"/>
            </w:tcBorders>
            <w:shd w:color="auto" w:fill="FFFFFF" w:themeFill="background1" w:val="clear"/>
            <w:vAlign w:val="center"/>
          </w:tcPr>
          <w:p>
            <w:pPr>
              <w:pStyle w:val="Normal"/>
              <w:widowControl w:val="false"/>
              <w:jc w:val="both"/>
              <w:rPr>
                <w:sz w:val="22"/>
                <w:szCs w:val="22"/>
              </w:rPr>
            </w:pPr>
            <w:r>
              <w:rPr>
                <w:sz w:val="20"/>
                <w:szCs w:val="20"/>
              </w:rPr>
              <w:t>2.6.</w:t>
            </w:r>
          </w:p>
        </w:tc>
        <w:tc>
          <w:tcPr>
            <w:tcW w:w="2092"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6075"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972" w:type="dxa"/>
            <w:tcBorders>
              <w:top w:val="nil"/>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2921"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8.000,00</w:t>
            </w:r>
          </w:p>
        </w:tc>
      </w:tr>
      <w:tr>
        <w:trPr>
          <w:trHeight w:val="340" w:hRule="atLeast"/>
        </w:trPr>
        <w:tc>
          <w:tcPr>
            <w:tcW w:w="1194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2920" w:type="dxa"/>
            <w:tcBorders>
              <w:top w:val="nil"/>
            </w:tcBorders>
            <w:shd w:color="auto" w:fill="auto" w:val="clear"/>
            <w:vAlign w:val="center"/>
          </w:tcPr>
          <w:p>
            <w:pPr>
              <w:pStyle w:val="Normal"/>
              <w:widowControl w:val="false"/>
              <w:jc w:val="center"/>
              <w:rPr>
                <w:sz w:val="20"/>
                <w:szCs w:val="20"/>
              </w:rPr>
            </w:pPr>
            <w:r>
              <w:rPr>
                <w:b/>
                <w:bCs/>
                <w:sz w:val="20"/>
                <w:szCs w:val="20"/>
              </w:rPr>
              <w:t>30.500,00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64" w:type="dxa"/>
        <w:jc w:val="left"/>
        <w:tblInd w:w="-20" w:type="dxa"/>
        <w:tblCellMar>
          <w:top w:w="0" w:type="dxa"/>
          <w:left w:w="108" w:type="dxa"/>
          <w:bottom w:w="0" w:type="dxa"/>
          <w:right w:w="108" w:type="dxa"/>
        </w:tblCellMar>
        <w:tblLook w:firstRow="1" w:noVBand="1" w:lastRow="0" w:firstColumn="1" w:lastColumn="0" w:noHBand="0" w:val="04a0"/>
      </w:tblPr>
      <w:tblGrid>
        <w:gridCol w:w="755"/>
        <w:gridCol w:w="2153"/>
        <w:gridCol w:w="6071"/>
        <w:gridCol w:w="2968"/>
        <w:gridCol w:w="2"/>
        <w:gridCol w:w="2915"/>
      </w:tblGrid>
      <w:tr>
        <w:trPr>
          <w:trHeight w:val="397" w:hRule="atLeast"/>
        </w:trPr>
        <w:tc>
          <w:tcPr>
            <w:tcW w:w="14864" w:type="dxa"/>
            <w:gridSpan w:val="6"/>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3. ODRŽAVANJE GROBLJA</w:t>
            </w:r>
          </w:p>
        </w:tc>
      </w:tr>
      <w:tr>
        <w:trPr>
          <w:trHeight w:val="397" w:hRule="atLeast"/>
        </w:trPr>
        <w:tc>
          <w:tcPr>
            <w:tcW w:w="755"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153"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6071"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968"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2917"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r>
      <w:tr>
        <w:trPr>
          <w:trHeight w:val="340" w:hRule="atLeast"/>
        </w:trPr>
        <w:tc>
          <w:tcPr>
            <w:tcW w:w="755" w:type="dxa"/>
            <w:tcBorders/>
            <w:shd w:color="auto" w:fill="FFFFFF" w:themeFill="background1" w:val="clear"/>
            <w:vAlign w:val="center"/>
          </w:tcPr>
          <w:p>
            <w:pPr>
              <w:pStyle w:val="Normal"/>
              <w:widowControl w:val="false"/>
              <w:jc w:val="both"/>
              <w:rPr>
                <w:sz w:val="22"/>
                <w:szCs w:val="22"/>
              </w:rPr>
            </w:pPr>
            <w:r>
              <w:rPr>
                <w:sz w:val="20"/>
                <w:szCs w:val="20"/>
              </w:rPr>
              <w:t>3.1.</w:t>
            </w:r>
          </w:p>
        </w:tc>
        <w:tc>
          <w:tcPr>
            <w:tcW w:w="2153" w:type="dxa"/>
            <w:tcBorders/>
            <w:shd w:color="auto" w:fill="FFFFFF" w:themeFill="background1" w:val="clear"/>
            <w:vAlign w:val="center"/>
          </w:tcPr>
          <w:p>
            <w:pPr>
              <w:pStyle w:val="Normal"/>
              <w:widowControl w:val="false"/>
              <w:jc w:val="both"/>
              <w:rPr>
                <w:sz w:val="20"/>
                <w:szCs w:val="20"/>
              </w:rPr>
            </w:pPr>
            <w:r>
              <w:rPr>
                <w:sz w:val="20"/>
                <w:szCs w:val="20"/>
              </w:rPr>
              <w:t>Prijevoz materijala – mjesno groblje Mihovljan</w:t>
            </w:r>
          </w:p>
        </w:tc>
        <w:tc>
          <w:tcPr>
            <w:tcW w:w="6071"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2968"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2917" w:type="dxa"/>
            <w:gridSpan w:val="2"/>
            <w:tcBorders/>
            <w:shd w:color="auto" w:fill="FFFFFF" w:themeFill="background1" w:val="clear"/>
            <w:vAlign w:val="center"/>
          </w:tcPr>
          <w:p>
            <w:pPr>
              <w:pStyle w:val="Normal"/>
              <w:widowControl w:val="false"/>
              <w:jc w:val="center"/>
              <w:rPr>
                <w:sz w:val="20"/>
                <w:szCs w:val="20"/>
              </w:rPr>
            </w:pPr>
            <w:r>
              <w:rPr>
                <w:sz w:val="20"/>
                <w:szCs w:val="20"/>
              </w:rPr>
              <w:t>400,00</w:t>
            </w:r>
          </w:p>
        </w:tc>
      </w:tr>
      <w:tr>
        <w:trPr>
          <w:trHeight w:val="340" w:hRule="atLeast"/>
        </w:trPr>
        <w:tc>
          <w:tcPr>
            <w:tcW w:w="755" w:type="dxa"/>
            <w:tcBorders/>
            <w:shd w:color="auto" w:fill="FFFFFF" w:themeFill="background1" w:val="clear"/>
            <w:vAlign w:val="center"/>
          </w:tcPr>
          <w:p>
            <w:pPr>
              <w:pStyle w:val="Normal"/>
              <w:widowControl w:val="false"/>
              <w:jc w:val="both"/>
              <w:rPr>
                <w:sz w:val="22"/>
                <w:szCs w:val="22"/>
              </w:rPr>
            </w:pPr>
            <w:r>
              <w:rPr>
                <w:sz w:val="20"/>
                <w:szCs w:val="20"/>
              </w:rPr>
              <w:t>3.2.</w:t>
            </w:r>
          </w:p>
        </w:tc>
        <w:tc>
          <w:tcPr>
            <w:tcW w:w="2153" w:type="dxa"/>
            <w:tcBorders/>
            <w:shd w:color="auto" w:fill="FFFFFF" w:themeFill="background1" w:val="clear"/>
            <w:vAlign w:val="center"/>
          </w:tcPr>
          <w:p>
            <w:pPr>
              <w:pStyle w:val="Normal"/>
              <w:widowControl w:val="false"/>
              <w:jc w:val="both"/>
              <w:rPr>
                <w:sz w:val="22"/>
                <w:szCs w:val="22"/>
              </w:rPr>
            </w:pPr>
            <w:r>
              <w:rPr>
                <w:sz w:val="20"/>
                <w:szCs w:val="20"/>
              </w:rPr>
              <w:t>Kameni materijal – mjesno groblje Mihovljan</w:t>
            </w:r>
          </w:p>
          <w:p>
            <w:pPr>
              <w:pStyle w:val="Normal"/>
              <w:widowControl w:val="false"/>
              <w:jc w:val="both"/>
              <w:rPr>
                <w:sz w:val="20"/>
                <w:szCs w:val="20"/>
              </w:rPr>
            </w:pPr>
            <w:r>
              <w:rPr>
                <w:sz w:val="20"/>
                <w:szCs w:val="20"/>
              </w:rPr>
            </w:r>
          </w:p>
        </w:tc>
        <w:tc>
          <w:tcPr>
            <w:tcW w:w="6071"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2968"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2917" w:type="dxa"/>
            <w:gridSpan w:val="2"/>
            <w:tcBorders/>
            <w:shd w:color="auto" w:fill="FFFFFF" w:themeFill="background1" w:val="clear"/>
            <w:vAlign w:val="center"/>
          </w:tcPr>
          <w:p>
            <w:pPr>
              <w:pStyle w:val="Normal"/>
              <w:widowControl w:val="false"/>
              <w:jc w:val="center"/>
              <w:rPr>
                <w:sz w:val="20"/>
                <w:szCs w:val="20"/>
              </w:rPr>
            </w:pPr>
            <w:r>
              <w:rPr>
                <w:sz w:val="20"/>
                <w:szCs w:val="20"/>
              </w:rPr>
              <w:t>400,00</w:t>
            </w:r>
          </w:p>
        </w:tc>
      </w:tr>
      <w:tr>
        <w:trPr>
          <w:trHeight w:val="340" w:hRule="atLeast"/>
        </w:trPr>
        <w:tc>
          <w:tcPr>
            <w:tcW w:w="755" w:type="dxa"/>
            <w:tcBorders/>
            <w:shd w:color="auto" w:fill="FFFFFF" w:themeFill="background1" w:val="clear"/>
            <w:vAlign w:val="center"/>
          </w:tcPr>
          <w:p>
            <w:pPr>
              <w:pStyle w:val="Normal"/>
              <w:widowControl w:val="false"/>
              <w:jc w:val="both"/>
              <w:rPr>
                <w:sz w:val="22"/>
                <w:szCs w:val="22"/>
              </w:rPr>
            </w:pPr>
            <w:r>
              <w:rPr>
                <w:sz w:val="20"/>
                <w:szCs w:val="20"/>
              </w:rPr>
              <w:t>3.3.</w:t>
            </w:r>
          </w:p>
        </w:tc>
        <w:tc>
          <w:tcPr>
            <w:tcW w:w="2153" w:type="dxa"/>
            <w:tcBorders/>
            <w:shd w:color="auto" w:fill="FFFFFF" w:themeFill="background1" w:val="clear"/>
            <w:vAlign w:val="center"/>
          </w:tcPr>
          <w:p>
            <w:pPr>
              <w:pStyle w:val="Normal"/>
              <w:widowControl w:val="false"/>
              <w:jc w:val="both"/>
              <w:rPr>
                <w:sz w:val="20"/>
                <w:szCs w:val="20"/>
              </w:rPr>
            </w:pPr>
            <w:r>
              <w:rPr>
                <w:sz w:val="20"/>
                <w:szCs w:val="20"/>
              </w:rPr>
              <w:t xml:space="preserve">Izdaci za odvoz smeća (kontejnera) sa mjesnog groblja </w:t>
            </w:r>
          </w:p>
        </w:tc>
        <w:tc>
          <w:tcPr>
            <w:tcW w:w="6071"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2968"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2917" w:type="dxa"/>
            <w:gridSpan w:val="2"/>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755" w:type="dxa"/>
            <w:tcBorders>
              <w:top w:val="nil"/>
            </w:tcBorders>
            <w:shd w:color="auto" w:fill="FFFFFF" w:themeFill="background1" w:val="clear"/>
            <w:vAlign w:val="center"/>
          </w:tcPr>
          <w:p>
            <w:pPr>
              <w:pStyle w:val="Normal"/>
              <w:widowControl w:val="false"/>
              <w:jc w:val="both"/>
              <w:rPr>
                <w:sz w:val="22"/>
                <w:szCs w:val="22"/>
              </w:rPr>
            </w:pPr>
            <w:r>
              <w:rPr>
                <w:sz w:val="20"/>
                <w:szCs w:val="20"/>
              </w:rPr>
              <w:t>3.4.</w:t>
            </w:r>
          </w:p>
        </w:tc>
        <w:tc>
          <w:tcPr>
            <w:tcW w:w="2153"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Održavanje Mjesnog groblja </w:t>
            </w:r>
          </w:p>
          <w:p>
            <w:pPr>
              <w:pStyle w:val="Normal"/>
              <w:widowControl w:val="false"/>
              <w:jc w:val="both"/>
              <w:rPr>
                <w:sz w:val="16"/>
                <w:szCs w:val="16"/>
              </w:rPr>
            </w:pPr>
            <w:r>
              <w:rPr>
                <w:sz w:val="16"/>
                <w:szCs w:val="16"/>
              </w:rPr>
            </w:r>
          </w:p>
        </w:tc>
        <w:tc>
          <w:tcPr>
            <w:tcW w:w="6071"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 xml:space="preserve">Radovi  se izvode  po  potrebi tijekom  godine  u  cilju  urednosti  i  očišćenosti  groblja  </w:t>
            </w:r>
          </w:p>
          <w:p>
            <w:pPr>
              <w:pStyle w:val="Normal"/>
              <w:jc w:val="both"/>
              <w:rPr/>
            </w:pPr>
            <w:r>
              <w:rPr>
                <w:rFonts w:cs="Arial"/>
                <w:sz w:val="20"/>
                <w:szCs w:val="20"/>
              </w:rPr>
              <w:t xml:space="preserve">Uništavanje korova s prskanjem herbicidima po stazama na novom dijelu groblja, na  stazama i između grobova na starom dijelu groblja- najmanje  jednom godišnje, odnosno po  potrebi. </w:t>
            </w:r>
          </w:p>
          <w:p>
            <w:pPr>
              <w:pStyle w:val="Normal"/>
              <w:jc w:val="both"/>
              <w:rPr/>
            </w:pPr>
            <w:r>
              <w:rPr>
                <w:rFonts w:cs="Arial"/>
                <w:sz w:val="20"/>
                <w:szCs w:val="20"/>
              </w:rPr>
              <w:t xml:space="preserve">Vožnja šljunaka/kamenog agregata sa parkinga po stazama mjesnog groblja Mihovljan i ostalim dijelovima po potrebi. </w:t>
            </w:r>
          </w:p>
          <w:p>
            <w:pPr>
              <w:pStyle w:val="Normal"/>
              <w:jc w:val="both"/>
              <w:rPr/>
            </w:pPr>
            <w:r>
              <w:rPr>
                <w:rFonts w:cs="Arial"/>
                <w:sz w:val="20"/>
                <w:szCs w:val="20"/>
              </w:rPr>
              <w:t xml:space="preserve">Odvoz  šljunka   sa  staza  - dijelova  groblja gdje  se ukaže potreba kada  se  radi  o  previsokim stazicama  u odnosu  na  ostali dio  groblja </w:t>
            </w:r>
          </w:p>
          <w:p>
            <w:pPr>
              <w:pStyle w:val="Normal"/>
              <w:jc w:val="both"/>
              <w:rPr/>
            </w:pPr>
            <w:r>
              <w:rPr>
                <w:rFonts w:cs="Arial"/>
                <w:sz w:val="20"/>
                <w:szCs w:val="20"/>
              </w:rPr>
              <w:t>Šišanje i uređivanje čempresa -  jednom godišnje.</w:t>
            </w:r>
          </w:p>
          <w:p>
            <w:pPr>
              <w:pStyle w:val="Normal"/>
              <w:jc w:val="both"/>
              <w:rPr/>
            </w:pPr>
            <w:r>
              <w:rPr>
                <w:rFonts w:cs="Arial"/>
                <w:sz w:val="20"/>
                <w:szCs w:val="20"/>
              </w:rPr>
              <w:t>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968" w:type="dxa"/>
            <w:tcBorders>
              <w:top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2917"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11949"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2915" w:type="dxa"/>
            <w:tcBorders/>
            <w:shd w:color="auto" w:fill="auto" w:val="clear"/>
            <w:vAlign w:val="center"/>
          </w:tcPr>
          <w:p>
            <w:pPr>
              <w:pStyle w:val="Normal"/>
              <w:widowControl w:val="false"/>
              <w:jc w:val="center"/>
              <w:rPr>
                <w:sz w:val="20"/>
                <w:szCs w:val="20"/>
              </w:rPr>
            </w:pPr>
            <w:r>
              <w:rPr>
                <w:b/>
                <w:sz w:val="20"/>
                <w:szCs w:val="20"/>
              </w:rPr>
              <w:t>24.800,00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 xml:space="preserve">Pod održavanjem javne rasvjete podrazumijeva se upravljanje i održavanje instalacija javne rasvjete; uključujući podmirivanje troškova električne energije za javnu rasvjetu, za rasvjetljivanje površina javne namjene. </w:t>
      </w:r>
    </w:p>
    <w:p>
      <w:pPr>
        <w:pStyle w:val="Normal"/>
        <w:spacing w:lineRule="auto" w:line="264"/>
        <w:rPr>
          <w:sz w:val="22"/>
          <w:szCs w:val="22"/>
        </w:rPr>
      </w:pPr>
      <w:r>
        <w:rPr>
          <w:sz w:val="22"/>
          <w:szCs w:val="22"/>
        </w:rPr>
      </w:r>
    </w:p>
    <w:tbl>
      <w:tblPr>
        <w:tblStyle w:val="Reetkatablice"/>
        <w:tblW w:w="14905" w:type="dxa"/>
        <w:jc w:val="left"/>
        <w:tblInd w:w="-48" w:type="dxa"/>
        <w:tblCellMar>
          <w:top w:w="0" w:type="dxa"/>
          <w:left w:w="108" w:type="dxa"/>
          <w:bottom w:w="0" w:type="dxa"/>
          <w:right w:w="108" w:type="dxa"/>
        </w:tblCellMar>
        <w:tblLook w:firstRow="1" w:noVBand="1" w:lastRow="0" w:firstColumn="1" w:lastColumn="0" w:noHBand="0" w:val="04a0"/>
      </w:tblPr>
      <w:tblGrid>
        <w:gridCol w:w="825"/>
        <w:gridCol w:w="2373"/>
        <w:gridCol w:w="6763"/>
        <w:gridCol w:w="3283"/>
        <w:gridCol w:w="3"/>
        <w:gridCol w:w="1658"/>
      </w:tblGrid>
      <w:tr>
        <w:trPr>
          <w:trHeight w:val="397" w:hRule="atLeast"/>
        </w:trPr>
        <w:tc>
          <w:tcPr>
            <w:tcW w:w="14905" w:type="dxa"/>
            <w:gridSpan w:val="6"/>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4. ODRŽAVANJE JAVNE RASVJETE</w:t>
            </w:r>
          </w:p>
        </w:tc>
      </w:tr>
      <w:tr>
        <w:trPr>
          <w:trHeight w:val="397" w:hRule="atLeast"/>
        </w:trPr>
        <w:tc>
          <w:tcPr>
            <w:tcW w:w="825"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373"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6763"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3283"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661"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r>
      <w:tr>
        <w:trPr>
          <w:trHeight w:val="340" w:hRule="atLeast"/>
        </w:trPr>
        <w:tc>
          <w:tcPr>
            <w:tcW w:w="825" w:type="dxa"/>
            <w:tcBorders/>
            <w:shd w:color="auto" w:fill="FFFFFF" w:themeFill="background1" w:val="clear"/>
            <w:vAlign w:val="center"/>
          </w:tcPr>
          <w:p>
            <w:pPr>
              <w:pStyle w:val="Normal"/>
              <w:widowControl w:val="false"/>
              <w:jc w:val="both"/>
              <w:rPr>
                <w:sz w:val="22"/>
                <w:szCs w:val="22"/>
              </w:rPr>
            </w:pPr>
            <w:r>
              <w:rPr>
                <w:sz w:val="20"/>
                <w:szCs w:val="20"/>
              </w:rPr>
              <w:t>4.1.</w:t>
            </w:r>
          </w:p>
        </w:tc>
        <w:tc>
          <w:tcPr>
            <w:tcW w:w="2373" w:type="dxa"/>
            <w:tcBorders/>
            <w:shd w:color="auto" w:fill="FFFFFF" w:themeFill="background1" w:val="clear"/>
            <w:vAlign w:val="center"/>
          </w:tcPr>
          <w:p>
            <w:pPr>
              <w:pStyle w:val="Normal"/>
              <w:widowControl w:val="false"/>
              <w:jc w:val="both"/>
              <w:rPr>
                <w:sz w:val="22"/>
                <w:szCs w:val="22"/>
              </w:rPr>
            </w:pPr>
            <w:r>
              <w:rPr>
                <w:sz w:val="20"/>
                <w:szCs w:val="20"/>
              </w:rPr>
              <w:t>Izdaci za održavanje javne rasvjete</w:t>
            </w:r>
          </w:p>
          <w:p>
            <w:pPr>
              <w:pStyle w:val="Normal"/>
              <w:widowControl w:val="false"/>
              <w:jc w:val="both"/>
              <w:rPr>
                <w:sz w:val="20"/>
                <w:szCs w:val="20"/>
              </w:rPr>
            </w:pPr>
            <w:r>
              <w:rPr>
                <w:sz w:val="20"/>
                <w:szCs w:val="20"/>
              </w:rPr>
            </w:r>
          </w:p>
        </w:tc>
        <w:tc>
          <w:tcPr>
            <w:tcW w:w="6763"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3283"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Općine=7.000,00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661" w:type="dxa"/>
            <w:gridSpan w:val="2"/>
            <w:tcBorders/>
            <w:shd w:color="auto" w:fill="FFFFFF" w:themeFill="background1" w:val="clear"/>
            <w:vAlign w:val="center"/>
          </w:tcPr>
          <w:p>
            <w:pPr>
              <w:pStyle w:val="Normal"/>
              <w:widowControl w:val="false"/>
              <w:jc w:val="center"/>
              <w:rPr>
                <w:sz w:val="20"/>
                <w:szCs w:val="20"/>
              </w:rPr>
            </w:pPr>
            <w:r>
              <w:rPr>
                <w:sz w:val="20"/>
                <w:szCs w:val="20"/>
              </w:rPr>
              <w:t>7.000,00</w:t>
            </w:r>
          </w:p>
        </w:tc>
      </w:tr>
      <w:tr>
        <w:trPr>
          <w:trHeight w:val="340" w:hRule="atLeast"/>
        </w:trPr>
        <w:tc>
          <w:tcPr>
            <w:tcW w:w="825" w:type="dxa"/>
            <w:tcBorders/>
            <w:shd w:color="auto" w:fill="FFFFFF" w:themeFill="background1" w:val="clear"/>
            <w:vAlign w:val="center"/>
          </w:tcPr>
          <w:p>
            <w:pPr>
              <w:pStyle w:val="Normal"/>
              <w:widowControl w:val="false"/>
              <w:jc w:val="both"/>
              <w:rPr>
                <w:sz w:val="22"/>
                <w:szCs w:val="22"/>
              </w:rPr>
            </w:pPr>
            <w:r>
              <w:rPr>
                <w:sz w:val="20"/>
                <w:szCs w:val="20"/>
              </w:rPr>
              <w:t>4.2.</w:t>
            </w:r>
          </w:p>
        </w:tc>
        <w:tc>
          <w:tcPr>
            <w:tcW w:w="2373" w:type="dxa"/>
            <w:tcBorders/>
            <w:shd w:color="auto" w:fill="FFFFFF" w:themeFill="background1" w:val="clear"/>
            <w:vAlign w:val="center"/>
          </w:tcPr>
          <w:p>
            <w:pPr>
              <w:pStyle w:val="Normal"/>
              <w:widowControl w:val="false"/>
              <w:jc w:val="both"/>
              <w:rPr>
                <w:sz w:val="22"/>
                <w:szCs w:val="22"/>
              </w:rPr>
            </w:pPr>
            <w:r>
              <w:rPr>
                <w:sz w:val="20"/>
                <w:szCs w:val="20"/>
              </w:rPr>
              <w:t>Dijelovi za javnu rasvjetu</w:t>
            </w:r>
          </w:p>
          <w:p>
            <w:pPr>
              <w:pStyle w:val="Normal"/>
              <w:widowControl w:val="false"/>
              <w:jc w:val="both"/>
              <w:rPr>
                <w:sz w:val="20"/>
                <w:szCs w:val="20"/>
              </w:rPr>
            </w:pPr>
            <w:r>
              <w:rPr>
                <w:sz w:val="20"/>
                <w:szCs w:val="20"/>
              </w:rPr>
            </w:r>
          </w:p>
        </w:tc>
        <w:tc>
          <w:tcPr>
            <w:tcW w:w="6763"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3283"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661" w:type="dxa"/>
            <w:gridSpan w:val="2"/>
            <w:tcBorders/>
            <w:shd w:color="auto" w:fill="FFFFFF" w:themeFill="background1" w:val="clear"/>
            <w:vAlign w:val="center"/>
          </w:tcPr>
          <w:p>
            <w:pPr>
              <w:pStyle w:val="Normal"/>
              <w:widowControl w:val="false"/>
              <w:jc w:val="center"/>
              <w:rPr>
                <w:sz w:val="20"/>
                <w:szCs w:val="20"/>
              </w:rPr>
            </w:pPr>
            <w:r>
              <w:rPr>
                <w:sz w:val="20"/>
                <w:szCs w:val="20"/>
              </w:rPr>
              <w:t>3.000,00</w:t>
            </w:r>
          </w:p>
        </w:tc>
      </w:tr>
      <w:tr>
        <w:trPr>
          <w:trHeight w:val="340" w:hRule="atLeast"/>
        </w:trPr>
        <w:tc>
          <w:tcPr>
            <w:tcW w:w="825" w:type="dxa"/>
            <w:tcBorders/>
            <w:shd w:color="auto" w:fill="FFFFFF" w:themeFill="background1" w:val="clear"/>
            <w:vAlign w:val="center"/>
          </w:tcPr>
          <w:p>
            <w:pPr>
              <w:pStyle w:val="Normal"/>
              <w:widowControl w:val="false"/>
              <w:jc w:val="both"/>
              <w:rPr>
                <w:sz w:val="22"/>
                <w:szCs w:val="22"/>
              </w:rPr>
            </w:pPr>
            <w:r>
              <w:rPr>
                <w:sz w:val="20"/>
                <w:szCs w:val="20"/>
              </w:rPr>
              <w:t>4.3.</w:t>
            </w:r>
          </w:p>
        </w:tc>
        <w:tc>
          <w:tcPr>
            <w:tcW w:w="2373" w:type="dxa"/>
            <w:tcBorders/>
            <w:shd w:color="auto" w:fill="FFFFFF" w:themeFill="background1" w:val="clear"/>
            <w:vAlign w:val="center"/>
          </w:tcPr>
          <w:p>
            <w:pPr>
              <w:pStyle w:val="Normal"/>
              <w:widowControl w:val="false"/>
              <w:jc w:val="both"/>
              <w:rPr>
                <w:sz w:val="22"/>
                <w:szCs w:val="22"/>
              </w:rPr>
            </w:pPr>
            <w:r>
              <w:rPr>
                <w:sz w:val="20"/>
                <w:szCs w:val="20"/>
              </w:rPr>
              <w:t>Trošak električne energije za javnu rasvjetu</w:t>
            </w:r>
          </w:p>
          <w:p>
            <w:pPr>
              <w:pStyle w:val="Normal"/>
              <w:widowControl w:val="false"/>
              <w:jc w:val="both"/>
              <w:rPr>
                <w:sz w:val="20"/>
                <w:szCs w:val="20"/>
              </w:rPr>
            </w:pPr>
            <w:r>
              <w:rPr>
                <w:sz w:val="20"/>
                <w:szCs w:val="20"/>
              </w:rPr>
            </w:r>
          </w:p>
        </w:tc>
        <w:tc>
          <w:tcPr>
            <w:tcW w:w="6763"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3283"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661" w:type="dxa"/>
            <w:gridSpan w:val="2"/>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13247"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658" w:type="dxa"/>
            <w:tcBorders/>
            <w:shd w:color="auto" w:fill="auto" w:val="clear"/>
            <w:vAlign w:val="center"/>
          </w:tcPr>
          <w:p>
            <w:pPr>
              <w:pStyle w:val="Normal"/>
              <w:widowControl w:val="false"/>
              <w:jc w:val="center"/>
              <w:rPr>
                <w:sz w:val="20"/>
                <w:szCs w:val="20"/>
              </w:rPr>
            </w:pPr>
            <w:r>
              <w:rPr>
                <w:b/>
                <w:sz w:val="20"/>
                <w:szCs w:val="20"/>
              </w:rPr>
              <w:t>20.000,00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567"/>
        <w:jc w:val="both"/>
        <w:rPr/>
      </w:pPr>
      <w:r>
        <w:rPr>
          <w:sz w:val="22"/>
          <w:szCs w:val="22"/>
        </w:rPr>
        <w:t>Ovaj Program održavanja objekata komunalne infrastrukture na području općine Mihovljan u 2025. godini objaviti će se u Službenom glasniku Krapinsko – zagorske županije, a primjenjuje se od 01. siječnja 2025. godine.</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customStyle="1">
    <w:name w:val="ListLabel 4"/>
    <w:qFormat/>
    <w:rPr>
      <w:sz w:val="20"/>
      <w:szCs w:val="20"/>
    </w:rPr>
  </w:style>
  <w:style w:type="character" w:styleId="ListLabel5" w:customStyle="1">
    <w:name w:val="ListLabel 5"/>
    <w:qFormat/>
    <w:rPr>
      <w:sz w:val="20"/>
      <w:szCs w:val="20"/>
    </w:rPr>
  </w:style>
  <w:style w:type="character" w:styleId="ListLabel6" w:customStyle="1">
    <w:name w:val="ListLabel 6"/>
    <w:qFormat/>
    <w:rPr>
      <w:sz w:val="20"/>
      <w:szCs w:val="20"/>
    </w:rPr>
  </w:style>
  <w:style w:type="character" w:styleId="ListLabel7" w:customStyle="1">
    <w:name w:val="ListLabel 7"/>
    <w:qFormat/>
    <w:rPr>
      <w:sz w:val="20"/>
      <w:szCs w:val="20"/>
    </w:rPr>
  </w:style>
  <w:style w:type="character" w:styleId="ListLabel8" w:customStyle="1">
    <w:name w:val="ListLabel 8"/>
    <w:qFormat/>
    <w:rPr>
      <w:sz w:val="20"/>
      <w:szCs w:val="20"/>
    </w:rPr>
  </w:style>
  <w:style w:type="character" w:styleId="ListLabel9" w:customStyle="1">
    <w:name w:val="ListLabel 9"/>
    <w:qFormat/>
    <w:rPr>
      <w:sz w:val="20"/>
      <w:szCs w:val="20"/>
    </w:rPr>
  </w:style>
  <w:style w:type="character" w:styleId="ListLabel10" w:customStyle="1">
    <w:name w:val="ListLabel 10"/>
    <w:qFormat/>
    <w:rPr>
      <w:sz w:val="20"/>
      <w:szCs w:val="20"/>
    </w:rPr>
  </w:style>
  <w:style w:type="character" w:styleId="ListLabel11" w:customStyle="1">
    <w:name w:val="ListLabel 11"/>
    <w:qFormat/>
    <w:rPr>
      <w:sz w:val="20"/>
      <w:szCs w:val="20"/>
    </w:rPr>
  </w:style>
  <w:style w:type="character" w:styleId="ListLabel12" w:customStyle="1">
    <w:name w:val="ListLabel 12"/>
    <w:qFormat/>
    <w:rPr>
      <w:sz w:val="20"/>
      <w:szCs w:val="20"/>
    </w:rPr>
  </w:style>
  <w:style w:type="character" w:styleId="ListLabel13" w:customStyle="1">
    <w:name w:val="ListLabel 13"/>
    <w:qFormat/>
    <w:rPr>
      <w:sz w:val="20"/>
      <w:szCs w:val="20"/>
    </w:rPr>
  </w:style>
  <w:style w:type="character" w:styleId="ListLabel14" w:customStyle="1">
    <w:name w:val="ListLabel 14"/>
    <w:qFormat/>
    <w:rPr>
      <w:sz w:val="20"/>
      <w:szCs w:val="20"/>
    </w:rPr>
  </w:style>
  <w:style w:type="character" w:styleId="ListLabel15">
    <w:name w:val="ListLabel 15"/>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eastAsia="en-US" w:val="hr-HR"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Application>LibreOffice/6.2.4.2$Windows_X86_64 LibreOffice_project/2412653d852ce75f65fbfa83fb7e7b669a126d64</Application>
  <Pages>6</Pages>
  <Words>2026</Words>
  <Characters>12815</Characters>
  <CharactersWithSpaces>14977</CharactersWithSpaces>
  <Paragraphs>253</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2024-12-13T09:22:00Z</dcterms:created>
  <dc:creator/>
  <dc:description/>
  <dc:language>hr-HR</dc:language>
  <cp:lastModifiedBy/>
  <cp:lastPrinted>2024-12-16T12:18:00Z</cp:lastPrinted>
  <dcterms:modified xsi:type="dcterms:W3CDTF">2024-12-30T09:27:02Z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