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</w:rPr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363-01/24-01/ 23</w:t>
      </w:r>
    </w:p>
    <w:p>
      <w:pPr>
        <w:pStyle w:val="Normal"/>
        <w:rPr/>
      </w:pPr>
      <w:r>
        <w:rPr>
          <w:sz w:val="22"/>
          <w:szCs w:val="22"/>
        </w:rPr>
        <w:t>URBROJ: 2140-23-1-24- 2</w:t>
      </w:r>
    </w:p>
    <w:p>
      <w:pPr>
        <w:pStyle w:val="Normal"/>
        <w:rPr/>
      </w:pPr>
      <w:r>
        <w:rPr>
          <w:sz w:val="22"/>
          <w:szCs w:val="22"/>
        </w:rPr>
        <w:t>Mihovljan, 19. prosinac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odredbe članka 67. Stavak 1 Zakona o komunalnom gospodarstvu („Narodne novine“ broj 68/18 i 110/18, 32/20), članka 30. Zakona o vodama („Narodne Novine“ br. 66/19, 84/21 i 47/23) i članka 39. Statuta Općine Mihovljan („Službeni glasnik Krapinsko-zagorske županije“ br. 5/13, 11/18, 8/20 i 8/21), Općinsko vijeće Općine Mihovljan na svojoj 28. sjednici održanoj dana 19. prosinca 2024.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GRAĐENJA OBJEKATA KOMUNALNE INFRASTRUKTURE U 2025. GODINI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2025.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radi uređenja neuređenih dijelova građevinskog </w:t>
        <w:br/>
        <w:t>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106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/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10146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1"/>
        <w:gridCol w:w="10"/>
        <w:gridCol w:w="4508"/>
        <w:gridCol w:w="28"/>
        <w:gridCol w:w="1633"/>
        <w:gridCol w:w="4"/>
        <w:gridCol w:w="2095"/>
        <w:gridCol w:w="5"/>
        <w:gridCol w:w="1142"/>
      </w:tblGrid>
      <w:tr>
        <w:trPr>
          <w:trHeight w:val="397" w:hRule="atLeast"/>
        </w:trPr>
        <w:tc>
          <w:tcPr>
            <w:tcW w:w="10146" w:type="dxa"/>
            <w:gridSpan w:val="9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r.br.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Opis</w:t>
            </w:r>
          </w:p>
        </w:tc>
        <w:tc>
          <w:tcPr>
            <w:tcW w:w="1661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Planirano ukupno (EUR)</w:t>
            </w:r>
          </w:p>
        </w:tc>
        <w:tc>
          <w:tcPr>
            <w:tcW w:w="2104" w:type="dxa"/>
            <w:gridSpan w:val="3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Izvori financiranja</w:t>
            </w:r>
          </w:p>
        </w:tc>
        <w:tc>
          <w:tcPr>
            <w:tcW w:w="1142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Pozicija</w:t>
            </w:r>
          </w:p>
        </w:tc>
      </w:tr>
      <w:tr>
        <w:trPr/>
        <w:tc>
          <w:tcPr>
            <w:tcW w:w="721" w:type="dxa"/>
            <w:tcBorders>
              <w:top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1.1.</w:t>
            </w:r>
          </w:p>
        </w:tc>
        <w:tc>
          <w:tcPr>
            <w:tcW w:w="9425" w:type="dxa"/>
            <w:gridSpan w:val="8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721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4518" w:type="dxa"/>
            <w:gridSpan w:val="2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Javna rasvjeta</w:t>
            </w:r>
          </w:p>
        </w:tc>
        <w:tc>
          <w:tcPr>
            <w:tcW w:w="1661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10.000,00</w:t>
            </w:r>
          </w:p>
        </w:tc>
        <w:tc>
          <w:tcPr>
            <w:tcW w:w="2104" w:type="dxa"/>
            <w:gridSpan w:val="3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Proračun Općine = 10.000,00 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  <w:tc>
          <w:tcPr>
            <w:tcW w:w="114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4511.10</w:t>
            </w:r>
          </w:p>
        </w:tc>
      </w:tr>
      <w:tr>
        <w:trPr/>
        <w:tc>
          <w:tcPr>
            <w:tcW w:w="7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Nabava lampi = 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Postava lampi = 1.000,00 EUR</w:t>
            </w:r>
          </w:p>
        </w:tc>
        <w:tc>
          <w:tcPr>
            <w:tcW w:w="1661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104" w:type="dxa"/>
            <w:gridSpan w:val="3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114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21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1.2.</w:t>
            </w:r>
          </w:p>
        </w:tc>
        <w:tc>
          <w:tcPr>
            <w:tcW w:w="9425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NERAZVRSTANE CESTE</w:t>
            </w:r>
          </w:p>
        </w:tc>
      </w:tr>
      <w:tr>
        <w:trPr>
          <w:trHeight w:val="685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Presvlačenje asfaltom i asfaltiranje nerazvrstanih cesta</w:t>
            </w:r>
          </w:p>
        </w:tc>
        <w:tc>
          <w:tcPr>
            <w:tcW w:w="166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176.000,00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Proračun Općine =  126.000,00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Pomoći = 80.000,00</w:t>
            </w:r>
          </w:p>
        </w:tc>
        <w:tc>
          <w:tcPr>
            <w:tcW w:w="114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Izvođenje radova = 171.000,00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Nadzor = 4.500,00 EUR</w:t>
            </w:r>
          </w:p>
        </w:tc>
        <w:tc>
          <w:tcPr>
            <w:tcW w:w="166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10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4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21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b)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bookmarkStart w:id="0" w:name="__DdeLink__840_2243921593"/>
            <w:r>
              <w:rPr>
                <w:color w:val="auto"/>
                <w:sz w:val="22"/>
                <w:szCs w:val="22"/>
              </w:rPr>
              <w:t>Rekonstrukcija postojeće nerazvrstane ceste M -Mihovljan – Večkovići - Kovačići – građevina infrastrukturne namjene 2. skupine</w:t>
            </w:r>
            <w:bookmarkEnd w:id="0"/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(ishođena građevinska dozvola)</w:t>
            </w:r>
          </w:p>
        </w:tc>
        <w:tc>
          <w:tcPr>
            <w:tcW w:w="166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1.035.000,00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EU primici = 1.022.595,00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Proračun Općine = 12.405,00 </w:t>
            </w:r>
          </w:p>
        </w:tc>
        <w:tc>
          <w:tcPr>
            <w:tcW w:w="114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4511.11</w:t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Izvođenje radova = 1.000.000,00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Konzultantske usluge = 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Nadzor = 26.000,00 EUR</w:t>
            </w:r>
          </w:p>
        </w:tc>
        <w:tc>
          <w:tcPr>
            <w:tcW w:w="166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10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114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1.4.</w:t>
            </w:r>
          </w:p>
        </w:tc>
        <w:tc>
          <w:tcPr>
            <w:tcW w:w="9425" w:type="dxa"/>
            <w:gridSpan w:val="8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JAVNE POVRŠINE KOJIMA NIJE DOPUŠTEN PROMET MOTORNIM VOZILIMA</w:t>
            </w:r>
          </w:p>
        </w:tc>
      </w:tr>
      <w:tr>
        <w:trPr/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Nogostup i oborinska odvodnja uz županijsku cestu ŽC2125 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(ishođena građevinska dozvola)</w:t>
            </w:r>
          </w:p>
        </w:tc>
        <w:tc>
          <w:tcPr>
            <w:tcW w:w="166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400.000,00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Proračun Općine = 290.000,00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bookmarkStart w:id="1" w:name="__DdeLink__818_3447693274"/>
            <w:r>
              <w:rPr>
                <w:b w:val="false"/>
                <w:bCs w:val="false"/>
                <w:color w:val="auto"/>
                <w:sz w:val="14"/>
                <w:szCs w:val="14"/>
              </w:rPr>
              <w:t>P</w:t>
            </w:r>
            <w:bookmarkEnd w:id="1"/>
            <w:r>
              <w:rPr>
                <w:b w:val="false"/>
                <w:bCs w:val="false"/>
                <w:color w:val="auto"/>
                <w:sz w:val="14"/>
                <w:szCs w:val="14"/>
              </w:rPr>
              <w:t>omoći Ministarstava=80.000,00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  <w:t>ŽUC = 30.000,00</w:t>
            </w:r>
          </w:p>
        </w:tc>
        <w:tc>
          <w:tcPr>
            <w:tcW w:w="114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72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Izvođenje radova = 390.000,00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Nadzor = 10.000,00 EUR</w:t>
            </w:r>
          </w:p>
        </w:tc>
        <w:tc>
          <w:tcPr>
            <w:tcW w:w="1661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104" w:type="dxa"/>
            <w:gridSpan w:val="3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114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21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1.5.</w:t>
            </w:r>
          </w:p>
        </w:tc>
        <w:tc>
          <w:tcPr>
            <w:tcW w:w="9425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GRAĐEVINE I UREĐAJI JAVNE NAMJENE</w:t>
            </w:r>
          </w:p>
        </w:tc>
      </w:tr>
      <w:tr>
        <w:trPr/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Rekonstrukcija i dogradnja i prenamjena postojeće zgrade u Vatrogasni dom</w:t>
            </w:r>
          </w:p>
        </w:tc>
        <w:tc>
          <w:tcPr>
            <w:tcW w:w="166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870.000,00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>Proračun Općine = 20.000,00</w:t>
              <w:br/>
              <w:t>EU primici = 850.000,00</w:t>
            </w:r>
          </w:p>
        </w:tc>
        <w:tc>
          <w:tcPr>
            <w:tcW w:w="114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4511.25</w:t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Izvođenje radova = 850.000,00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Nadzor = 20.000,00 EUR</w:t>
            </w:r>
          </w:p>
        </w:tc>
        <w:tc>
          <w:tcPr>
            <w:tcW w:w="166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10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4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721" w:type="dxa"/>
            <w:tcBorders>
              <w:top w:val="nil"/>
              <w:right w:val="nil"/>
            </w:tcBorders>
            <w:shd w:color="auto" w:fill="EEEEEE" w:val="clea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b)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Rekonstrukcija pomoćne prostorije kraj Društvenog doma Mihovljan </w:t>
            </w:r>
            <w:r>
              <w:rPr>
                <w:color w:val="auto"/>
                <w:sz w:val="16"/>
                <w:szCs w:val="16"/>
              </w:rPr>
              <w:t>(planira se obnova na k.č.br. 3521 k.o. Mihovljan)</w:t>
            </w:r>
          </w:p>
        </w:tc>
        <w:tc>
          <w:tcPr>
            <w:tcW w:w="1661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30.000,00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>Proračun Općine= 30.000,00</w:t>
            </w:r>
          </w:p>
        </w:tc>
        <w:tc>
          <w:tcPr>
            <w:tcW w:w="1142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4511.18</w:t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Izvođenje radova = 29.000,00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661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2104" w:type="dxa"/>
            <w:gridSpan w:val="3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42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c)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Rekonstrukcija zgrade postojeće područne OŠ Gregurovec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(ishođena građevinska dozvola)</w:t>
            </w:r>
          </w:p>
        </w:tc>
        <w:tc>
          <w:tcPr>
            <w:tcW w:w="1661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15.000,00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  <w:t>Proračun Općine= 15.000,00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142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4511.19</w:t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Izvođenje radova = 14.500,00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661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2104" w:type="dxa"/>
            <w:gridSpan w:val="3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</w:r>
          </w:p>
        </w:tc>
        <w:tc>
          <w:tcPr>
            <w:tcW w:w="114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bCs/>
                <w:color w:val="auto"/>
                <w:sz w:val="22"/>
                <w:szCs w:val="22"/>
              </w:rPr>
              <w:t>d)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Multifunkcionalni kulturni i prez. centar u Mihovljanu </w:t>
            </w:r>
            <w:r>
              <w:rPr>
                <w:bCs/>
                <w:color w:val="auto"/>
                <w:sz w:val="16"/>
                <w:szCs w:val="16"/>
              </w:rPr>
              <w:t>(ishođena građevinska dozvola)</w:t>
            </w:r>
          </w:p>
        </w:tc>
        <w:tc>
          <w:tcPr>
            <w:tcW w:w="1661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15.000,00</w:t>
            </w:r>
          </w:p>
        </w:tc>
        <w:tc>
          <w:tcPr>
            <w:tcW w:w="2104" w:type="dxa"/>
            <w:gridSpan w:val="3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Općine=15.000,00</w:t>
            </w:r>
          </w:p>
        </w:tc>
        <w:tc>
          <w:tcPr>
            <w:tcW w:w="114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4511.14</w:t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</w:t>
            </w:r>
            <w:r>
              <w:rPr>
                <w:bCs/>
                <w:color w:val="auto"/>
                <w:sz w:val="22"/>
                <w:szCs w:val="22"/>
              </w:rPr>
              <w:t>e)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Projekti - izrada projekata i geodezija</w:t>
            </w:r>
          </w:p>
        </w:tc>
        <w:tc>
          <w:tcPr>
            <w:tcW w:w="1661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auto"/>
                <w:sz w:val="22"/>
                <w:szCs w:val="22"/>
              </w:rPr>
              <w:t>50.000,00</w:t>
            </w:r>
          </w:p>
        </w:tc>
        <w:tc>
          <w:tcPr>
            <w:tcW w:w="2104" w:type="dxa"/>
            <w:gridSpan w:val="3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Općine=50.000,00</w:t>
            </w:r>
          </w:p>
        </w:tc>
        <w:tc>
          <w:tcPr>
            <w:tcW w:w="114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721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bCs/>
                <w:color w:val="auto"/>
                <w:sz w:val="22"/>
                <w:szCs w:val="22"/>
              </w:rPr>
              <w:t>f)</w:t>
            </w:r>
          </w:p>
        </w:tc>
        <w:tc>
          <w:tcPr>
            <w:tcW w:w="4518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Izmjena i dopuna Prostornog plana</w:t>
            </w:r>
          </w:p>
        </w:tc>
        <w:tc>
          <w:tcPr>
            <w:tcW w:w="1661" w:type="dxa"/>
            <w:gridSpan w:val="2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40.000,00</w:t>
            </w:r>
          </w:p>
        </w:tc>
        <w:tc>
          <w:tcPr>
            <w:tcW w:w="2104" w:type="dxa"/>
            <w:gridSpan w:val="3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Proračun Općine=10.000,00</w:t>
              <w:br/>
              <w:t>Pomoći Ministarstava=30.000,00</w:t>
            </w:r>
          </w:p>
        </w:tc>
        <w:tc>
          <w:tcPr>
            <w:tcW w:w="114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>4126.19</w:t>
            </w:r>
          </w:p>
        </w:tc>
      </w:tr>
      <w:tr>
        <w:trPr/>
        <w:tc>
          <w:tcPr>
            <w:tcW w:w="7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2.1.</w:t>
            </w:r>
          </w:p>
        </w:tc>
        <w:tc>
          <w:tcPr>
            <w:tcW w:w="9415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color w:val="auto"/>
                <w:sz w:val="22"/>
                <w:szCs w:val="22"/>
              </w:rPr>
              <w:t>GROBLJA</w:t>
            </w:r>
          </w:p>
        </w:tc>
      </w:tr>
      <w:tr>
        <w:trPr/>
        <w:tc>
          <w:tcPr>
            <w:tcW w:w="731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2"/>
                <w:szCs w:val="22"/>
              </w:rPr>
              <w:t>a)</w:t>
            </w:r>
          </w:p>
        </w:tc>
        <w:tc>
          <w:tcPr>
            <w:tcW w:w="4536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Mrtvačnica Mihovljan – prilazne stepenice</w:t>
            </w:r>
          </w:p>
        </w:tc>
        <w:tc>
          <w:tcPr>
            <w:tcW w:w="1637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8.000,00</w:t>
            </w:r>
          </w:p>
        </w:tc>
        <w:tc>
          <w:tcPr>
            <w:tcW w:w="2095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Općine=8.000,00</w:t>
            </w:r>
          </w:p>
        </w:tc>
        <w:tc>
          <w:tcPr>
            <w:tcW w:w="1147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4511.16</w:t>
            </w:r>
          </w:p>
        </w:tc>
      </w:tr>
      <w:tr>
        <w:trPr/>
        <w:tc>
          <w:tcPr>
            <w:tcW w:w="73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Stručni nadzor = 200,00 EUR </w:t>
            </w:r>
          </w:p>
        </w:tc>
        <w:tc>
          <w:tcPr>
            <w:tcW w:w="1637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47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1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2"/>
                <w:szCs w:val="22"/>
              </w:rPr>
              <w:t>b)</w:t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Kapelica na Mjesnom groblju Mihovljan</w:t>
            </w:r>
          </w:p>
        </w:tc>
        <w:tc>
          <w:tcPr>
            <w:tcW w:w="163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10.000,00</w:t>
            </w:r>
          </w:p>
        </w:tc>
        <w:tc>
          <w:tcPr>
            <w:tcW w:w="2095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auto"/>
                <w:sz w:val="14"/>
                <w:szCs w:val="14"/>
              </w:rPr>
            </w:r>
          </w:p>
          <w:p>
            <w:pPr>
              <w:pStyle w:val="NoSpacing"/>
              <w:widowControl w:val="false"/>
              <w:jc w:val="left"/>
              <w:rPr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</w:t>
            </w:r>
            <w:bookmarkStart w:id="2" w:name="__DdeLink__818_34476932741"/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 xml:space="preserve"> </w:t>
            </w:r>
            <w:bookmarkEnd w:id="2"/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= 10.000,00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731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Izvođenje radova  = 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Nadzor = 500,00 EUR</w:t>
            </w:r>
          </w:p>
        </w:tc>
        <w:tc>
          <w:tcPr>
            <w:tcW w:w="1637" w:type="dxa"/>
            <w:gridSpan w:val="2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47" w:type="dxa"/>
            <w:gridSpan w:val="2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1" w:type="dxa"/>
            <w:gridSpan w:val="2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highlight w:val="lightGray"/>
              </w:rPr>
            </w:pPr>
            <w:r>
              <w:rPr>
                <w:b w:val="false"/>
                <w:bCs w:val="false"/>
                <w:color w:val="auto"/>
                <w:sz w:val="22"/>
              </w:rPr>
              <w:t>d)</w:t>
            </w:r>
          </w:p>
        </w:tc>
        <w:tc>
          <w:tcPr>
            <w:tcW w:w="4536" w:type="dxa"/>
            <w:gridSpan w:val="2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hd w:val="clear" w:fill="EEEEEE"/>
              <w:jc w:val="both"/>
              <w:rPr>
                <w:highlight w:val="lightGray"/>
              </w:rPr>
            </w:pPr>
            <w:r>
              <w:rPr>
                <w:color w:val="auto"/>
              </w:rPr>
              <w:t>Vrata za mrtvačnicu</w:t>
            </w:r>
          </w:p>
        </w:tc>
        <w:tc>
          <w:tcPr>
            <w:tcW w:w="163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5.000,00</w:t>
            </w:r>
          </w:p>
        </w:tc>
        <w:tc>
          <w:tcPr>
            <w:tcW w:w="2095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=5.000,00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4221.23</w:t>
            </w:r>
          </w:p>
        </w:tc>
      </w:tr>
      <w:tr>
        <w:trPr/>
        <w:tc>
          <w:tcPr>
            <w:tcW w:w="73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Nabava i postava = 5.000,00 EUR</w:t>
            </w:r>
          </w:p>
        </w:tc>
        <w:tc>
          <w:tcPr>
            <w:tcW w:w="163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4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1" w:type="dxa"/>
            <w:gridSpan w:val="2"/>
            <w:tcBorders>
              <w:top w:val="nil"/>
            </w:tcBorders>
            <w:shd w:fill="EEEEEE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  <w:t>e)</w:t>
            </w:r>
          </w:p>
        </w:tc>
        <w:tc>
          <w:tcPr>
            <w:tcW w:w="4536" w:type="dxa"/>
            <w:gridSpan w:val="2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</w:rPr>
              <w:t>Oprema za mrtvačnicu</w:t>
            </w:r>
          </w:p>
        </w:tc>
        <w:tc>
          <w:tcPr>
            <w:tcW w:w="163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5.000,00</w:t>
            </w:r>
          </w:p>
        </w:tc>
        <w:tc>
          <w:tcPr>
            <w:tcW w:w="2095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=5.000,00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4221.93</w:t>
            </w:r>
          </w:p>
        </w:tc>
      </w:tr>
      <w:tr>
        <w:trPr/>
        <w:tc>
          <w:tcPr>
            <w:tcW w:w="73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Nabava i postava = 5.000,00 EUR</w:t>
            </w:r>
          </w:p>
        </w:tc>
        <w:tc>
          <w:tcPr>
            <w:tcW w:w="163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4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796" w:hRule="atLeast"/>
        </w:trPr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color w:val="auto"/>
                <w:sz w:val="14"/>
                <w:szCs w:val="14"/>
              </w:rPr>
            </w:pPr>
            <w:r>
              <w:rPr>
                <w:b w:val="false"/>
                <w:bCs w:val="false"/>
                <w:color w:val="auto"/>
                <w:sz w:val="14"/>
                <w:szCs w:val="14"/>
              </w:rPr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1" w:type="dxa"/>
            <w:gridSpan w:val="2"/>
            <w:tcBorders>
              <w:right w:val="nil"/>
            </w:tcBorders>
            <w:shd w:fill="EEEEEE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  <w:t>g)</w:t>
            </w:r>
          </w:p>
        </w:tc>
        <w:tc>
          <w:tcPr>
            <w:tcW w:w="4536" w:type="dxa"/>
            <w:gridSpan w:val="2"/>
            <w:tcBorders>
              <w:right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Izrada betonskih okvira na Mjesnom groblju Mihovljan </w:t>
            </w:r>
          </w:p>
        </w:tc>
        <w:tc>
          <w:tcPr>
            <w:tcW w:w="1637" w:type="dxa"/>
            <w:gridSpan w:val="2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50.000,00</w:t>
            </w:r>
          </w:p>
        </w:tc>
        <w:tc>
          <w:tcPr>
            <w:tcW w:w="2095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left"/>
              <w:rPr>
                <w:color w:val="auto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auto"/>
                <w:sz w:val="14"/>
                <w:szCs w:val="14"/>
              </w:rPr>
              <w:t>Proračun Općine = 50.000,00</w:t>
            </w:r>
          </w:p>
        </w:tc>
        <w:tc>
          <w:tcPr>
            <w:tcW w:w="1147" w:type="dxa"/>
            <w:gridSpan w:val="2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4214.64</w:t>
            </w:r>
          </w:p>
        </w:tc>
      </w:tr>
      <w:tr>
        <w:trPr/>
        <w:tc>
          <w:tcPr>
            <w:tcW w:w="731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  <w:color w:val="auto"/>
                <w:sz w:val="22"/>
              </w:rPr>
            </w:pPr>
            <w:r>
              <w:rPr>
                <w:b w:val="false"/>
                <w:bCs w:val="false"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Izvođenje radova = 49.000,00 EUR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Nadzor = 1.000,00 EUR</w:t>
            </w:r>
          </w:p>
        </w:tc>
        <w:tc>
          <w:tcPr>
            <w:tcW w:w="163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114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/>
        <w:tc>
          <w:tcPr>
            <w:tcW w:w="73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3.1.</w:t>
            </w:r>
          </w:p>
        </w:tc>
        <w:tc>
          <w:tcPr>
            <w:tcW w:w="9415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rPr>
                <w:b/>
                <w:b/>
                <w:sz w:val="22"/>
              </w:rPr>
            </w:pPr>
            <w:r>
              <w:rPr>
                <w:b/>
                <w:color w:val="auto"/>
                <w:sz w:val="22"/>
                <w:szCs w:val="22"/>
              </w:rPr>
              <w:t>JAVNE ZELENE POVRŠINE</w:t>
            </w:r>
          </w:p>
        </w:tc>
      </w:tr>
      <w:tr>
        <w:trPr>
          <w:trHeight w:val="393" w:hRule="atLeast"/>
        </w:trPr>
        <w:tc>
          <w:tcPr>
            <w:tcW w:w="731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Dječje igralište u Mihovljanu</w:t>
            </w:r>
          </w:p>
        </w:tc>
        <w:tc>
          <w:tcPr>
            <w:tcW w:w="163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110.000,00</w:t>
            </w:r>
          </w:p>
        </w:tc>
        <w:tc>
          <w:tcPr>
            <w:tcW w:w="2095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 = 50.000,00</w:t>
              <w:br/>
              <w:t>Pomoći Ministarstva= 60.000,00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4511.26</w:t>
            </w:r>
          </w:p>
        </w:tc>
      </w:tr>
      <w:tr>
        <w:trPr>
          <w:trHeight w:val="506" w:hRule="atLeast"/>
        </w:trPr>
        <w:tc>
          <w:tcPr>
            <w:tcW w:w="731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bookmarkStart w:id="3" w:name="__DdeLink__612_953819949"/>
            <w:r>
              <w:rPr>
                <w:color w:val="auto"/>
                <w:sz w:val="22"/>
                <w:szCs w:val="22"/>
              </w:rPr>
              <w:t>Nabava i postava = 1</w:t>
            </w:r>
            <w:r>
              <w:rPr>
                <w:color w:val="auto"/>
                <w:sz w:val="22"/>
                <w:szCs w:val="22"/>
              </w:rPr>
              <w:t>06</w:t>
            </w:r>
            <w:r>
              <w:rPr>
                <w:color w:val="auto"/>
                <w:sz w:val="22"/>
                <w:szCs w:val="22"/>
              </w:rPr>
              <w:t>.000,00 EUR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4" w:name="__DdeLink__612_953819949"/>
            <w:r>
              <w:rPr>
                <w:color w:val="auto"/>
                <w:sz w:val="22"/>
                <w:szCs w:val="22"/>
              </w:rPr>
              <w:t>Nadzor = 4.000,00</w:t>
            </w:r>
            <w:bookmarkEnd w:id="4"/>
          </w:p>
        </w:tc>
        <w:tc>
          <w:tcPr>
            <w:tcW w:w="163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2095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</w:r>
          </w:p>
        </w:tc>
        <w:tc>
          <w:tcPr>
            <w:tcW w:w="114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31" w:type="dxa"/>
            <w:gridSpan w:val="2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auto"/>
                <w:sz w:val="22"/>
              </w:rPr>
              <w:t xml:space="preserve">      </w:t>
            </w:r>
            <w:r>
              <w:rPr>
                <w:color w:val="auto"/>
                <w:sz w:val="22"/>
              </w:rPr>
              <w:t>b)</w:t>
            </w:r>
          </w:p>
        </w:tc>
        <w:tc>
          <w:tcPr>
            <w:tcW w:w="4536" w:type="dxa"/>
            <w:gridSpan w:val="2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Nogometno igralište</w:t>
            </w:r>
          </w:p>
        </w:tc>
        <w:tc>
          <w:tcPr>
            <w:tcW w:w="1637" w:type="dxa"/>
            <w:gridSpan w:val="2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150.000,00 </w:t>
            </w:r>
          </w:p>
        </w:tc>
        <w:tc>
          <w:tcPr>
            <w:tcW w:w="2095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Proračun Općine= 90.000,00</w:t>
            </w:r>
          </w:p>
          <w:p>
            <w:pPr>
              <w:pStyle w:val="NoSpacing"/>
              <w:widowControl w:val="false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4"/>
                <w:szCs w:val="14"/>
              </w:rPr>
              <w:t>Pomoći Ministarstava=80.000,00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4511.13</w:t>
            </w:r>
          </w:p>
        </w:tc>
      </w:tr>
      <w:tr>
        <w:trPr>
          <w:trHeight w:val="506" w:hRule="atLeast"/>
        </w:trPr>
        <w:tc>
          <w:tcPr>
            <w:tcW w:w="731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4536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Nabava i postava = 1</w:t>
            </w:r>
            <w:r>
              <w:rPr>
                <w:color w:val="auto"/>
                <w:sz w:val="22"/>
                <w:szCs w:val="22"/>
              </w:rPr>
              <w:t>45</w:t>
            </w:r>
            <w:r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22"/>
                <w:szCs w:val="22"/>
              </w:rPr>
              <w:t>Nadzor = 4.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00,00</w:t>
            </w:r>
          </w:p>
        </w:tc>
        <w:tc>
          <w:tcPr>
            <w:tcW w:w="1637" w:type="dxa"/>
            <w:gridSpan w:val="2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147" w:type="dxa"/>
            <w:gridSpan w:val="2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73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53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4879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 xml:space="preserve">2.975.000,00 EUR 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  <w:t>Sredstva potrebna za realizaciju Programa građenja komunalne infrastrukture osigurat će se iz općih poreznih prihoda, kapitalne potpora iz LAG-a, kapitalne potpore iz ŽUC-a KZŽ, prihoda od kapitalnih potpora resornih Ministarstva,  Fondova EU i kreditnog zaduženja sukladno Tabeli u nastavku.</w:t>
      </w:r>
    </w:p>
    <w:tbl>
      <w:tblPr>
        <w:tblW w:w="10065" w:type="dxa"/>
        <w:jc w:val="lef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662"/>
        <w:gridCol w:w="3402"/>
      </w:tblGrid>
      <w:tr>
        <w:trPr/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IZVOR SREDSTAVA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PLAN – PROCJENA EUR</w:t>
            </w:r>
          </w:p>
        </w:tc>
      </w:tr>
      <w:tr>
        <w:trPr/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Proračun Općine Mihovljan –prihod od poreza  i prireza na dohodak,preneseni višak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sz w:val="21"/>
                <w:szCs w:val="21"/>
              </w:rPr>
              <w:t>619.405,00</w:t>
            </w:r>
          </w:p>
        </w:tc>
      </w:tr>
      <w:tr>
        <w:trPr/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Prihod od kapitalnih potpora resornih Ministarstava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color w:val="auto"/>
                <w:sz w:val="21"/>
                <w:szCs w:val="21"/>
              </w:rPr>
              <w:t>1.270.000,00</w:t>
            </w:r>
          </w:p>
        </w:tc>
      </w:tr>
      <w:tr>
        <w:trPr/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LAG Zeleni bregi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33.000,00</w:t>
            </w:r>
          </w:p>
        </w:tc>
      </w:tr>
      <w:tr>
        <w:trPr/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Kapitalne pomoći iz žup. Proračuna – za nogostup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30.000,00</w:t>
            </w:r>
          </w:p>
        </w:tc>
      </w:tr>
      <w:tr>
        <w:trPr/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adrajitablice"/>
              <w:snapToGrid w:val="false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Kapitalne pomoći iz drž.proračuna temeljem prijenosa EU sredstava (Rekonstrukcija nerazvrstane ceste Mihovljan - Večkovići-Kovačići)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1.022.595,00</w:t>
            </w:r>
          </w:p>
        </w:tc>
      </w:tr>
      <w:tr>
        <w:trPr/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Sadrajitablice"/>
              <w:snapToGrid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sz w:val="22"/>
                <w:szCs w:val="22"/>
              </w:rPr>
              <w:t xml:space="preserve">2.975.000,00 EUR 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/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građenja objekata komunalne infrastrukture Općine Mihovljan u 2025. godini primjenjuje se od 01. siječnja 2025. godine, a objaviti će se u Službenom glasniku Krapinsko – zagorske županije.</w:t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 xml:space="preserve">   </w:t>
        <w:tab/>
        <w:tab/>
        <w:t xml:space="preserve">             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>
    <w:name w:val="ListLabel 71"/>
    <w:qFormat/>
    <w:rPr>
      <w:rFonts w:cs="Segoe UI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eastAsia="Lucida Sans Unicode" w:cs="Times New Roman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Times New Roman"/>
      <w:sz w:val="22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Times New Roman"/>
      <w:sz w:val="22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Times New Roman"/>
      <w:sz w:val="22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Times New Roman"/>
      <w:sz w:val="22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Times New Roman"/>
      <w:sz w:val="22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Times New Roman"/>
      <w:sz w:val="22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Times New Roman"/>
      <w:sz w:val="22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Times New Roman"/>
      <w:sz w:val="22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Times New Roman"/>
      <w:sz w:val="22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Times New Roman"/>
      <w:sz w:val="22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Times New Roman"/>
      <w:sz w:val="22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Times New Roman"/>
      <w:sz w:val="22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Times New Roman"/>
      <w:sz w:val="22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Times New Roman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Times New Roman"/>
      <w:sz w:val="22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Application>LibreOffice/6.2.4.2$Windows_X86_64 LibreOffice_project/2412653d852ce75f65fbfa83fb7e7b669a126d64</Application>
  <Pages>3</Pages>
  <Words>905</Words>
  <Characters>5827</Characters>
  <CharactersWithSpaces>6606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2023-01-07T14:17:00Z</dcterms:created>
  <dc:creator>URED-PC</dc:creator>
  <dc:description/>
  <dc:language>hr-HR</dc:language>
  <cp:lastModifiedBy/>
  <cp:lastPrinted>2025-01-02T14:53:11Z</cp:lastPrinted>
  <dcterms:modified xsi:type="dcterms:W3CDTF">2025-01-13T07:37:17Z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