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6"/>
        <w:gridCol w:w="5277"/>
      </w:tblGrid>
      <w:tr>
        <w:trPr/>
        <w:tc>
          <w:tcPr>
            <w:tcW w:w="4076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–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27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350-02/25-01/</w:t>
      </w:r>
      <w:r>
        <w:rPr>
          <w:sz w:val="22"/>
          <w:szCs w:val="22"/>
        </w:rPr>
        <w:t>03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rujna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31. stavka 2. Zakona o postupanju s nezakonito izgrađenim zgradama ("Narodne novine" broj 86/12, 143/13, 65/17 i 14/19) i članka 39. Statuta Općine Mihovljan (“Službeni glasnik Krapinsko-zagorske županije” 05/13, 11/18, 8/20, 8/21), Općinsko vijeće Općine Mihovljan na svojoj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. rujna 2025., godine, donijelo je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POLUGODIŠNJE IZVJEŠĆE O IZVRŠENJU PROGRAM UTROŠKA SREDSTAVA OD NAKNADE ZA ZADRŽAVANJE NEZAKONITO IZGRAĐENE ZGRADE U PROSTORU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za razdoblje od 01.01.-30.06.2025. godine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Prihod Proračuna Općine Mihovljan za 2025. godinu od naknada za z</w:t>
      </w:r>
      <w:r>
        <w:rPr>
          <w:color w:val="auto"/>
          <w:sz w:val="22"/>
          <w:szCs w:val="22"/>
        </w:rPr>
        <w:t>adržavanje nezakonito izgrađenih zgrada u prostoru, a kao 30% ukupnog iznosa sredstava, početnim planom planiran je u iznosu od 2.000,00 EUR.</w:t>
      </w:r>
    </w:p>
    <w:p>
      <w:pPr>
        <w:pStyle w:val="Normal"/>
        <w:jc w:val="both"/>
        <w:rPr/>
      </w:pPr>
      <w:r>
        <w:rPr>
          <w:color w:val="auto"/>
          <w:sz w:val="22"/>
          <w:szCs w:val="22"/>
        </w:rPr>
        <w:tab/>
        <w:t xml:space="preserve">I. izmjenama i dopunama Proračuna Općine Mihovljan za 2025. godinu prihod je planiran u iznosu od 5.000,00 EUR.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>U razdoblju od 01.01.-30.06.2025. godine pristiglo je u proračun Općine Mihovljan 192,84EUR.</w:t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Ostvareni prihod od naknada za zadržavanje nezakonito izgrađenih zgrada u prostoru utrošit će se za financiranje asfaltiranja i presvlačenja asfaltom postojećih nerazvrstanih cesta na području Mihovljana sukladno programu građenja komunalne infrastrukture za 2025. godinu. </w:t>
      </w:r>
    </w:p>
    <w:p>
      <w:pPr>
        <w:pStyle w:val="Normal"/>
        <w:jc w:val="both"/>
        <w:rPr/>
      </w:pPr>
      <w:r>
        <w:rPr>
          <w:sz w:val="22"/>
          <w:szCs w:val="22"/>
        </w:rPr>
        <w:tab/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9"/>
        <w:jc w:val="both"/>
        <w:rPr/>
      </w:pPr>
      <w:r>
        <w:rPr>
          <w:sz w:val="22"/>
          <w:szCs w:val="22"/>
        </w:rPr>
        <w:t>Ovo Polugodišnje izvršenje Programa utroška sredstava za 2025. godinu od naknade za zadržavanje nezakonito izgrađenih zgrada u prostoru objavit će se u Službenom glasniku Krapinsko-zagorske županije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primjenjuje se od 01. siječnja 2025.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mr. Silvestar Vučković dr.vet.med.</w:t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                                                                              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prostornog uređenja, graditeljstva i državne imovine, Ul. Republike Austrije 20,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Internetskapoveznica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417" w:right="1417" w:header="0" w:top="273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3a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2c3a68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rsid w:val="002c3a68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qFormat/>
    <w:rsid w:val="00bb25e1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qFormat/>
    <w:rsid w:val="001406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07f7"/>
    <w:rPr>
      <w:color w:val="605E5C"/>
      <w:shd w:fill="E1DFDD" w:val="clear"/>
    </w:rPr>
  </w:style>
  <w:style w:type="character" w:styleId="ListLabel1" w:customStyle="1">
    <w:name w:val="ListLabel 1"/>
    <w:qFormat/>
    <w:rPr>
      <w:rFonts w:ascii="Arial Narrow" w:hAnsi="Arial Narrow" w:cs="Tahoma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sz w:val="22"/>
      <w:szCs w:val="22"/>
    </w:rPr>
  </w:style>
  <w:style w:type="character" w:styleId="ListLabel3" w:customStyle="1">
    <w:name w:val="ListLabel 3"/>
    <w:qFormat/>
    <w:rPr>
      <w:rFonts w:ascii="Arial Narrow" w:hAnsi="Arial Narrow" w:cs="Tahoma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>
    <w:name w:val="ListLabel 5"/>
    <w:qFormat/>
    <w:rPr>
      <w:sz w:val="20"/>
      <w:szCs w:val="20"/>
    </w:rPr>
  </w:style>
  <w:style w:type="character" w:styleId="ListLabel6">
    <w:name w:val="ListLabel 6"/>
    <w:qFormat/>
    <w:rPr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2c3a68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qFormat/>
    <w:rsid w:val="0014060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60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777bc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LibreOffice/6.2.4.2$Windows_X86_64 LibreOffice_project/2412653d852ce75f65fbfa83fb7e7b669a126d64</Application>
  <Pages>1</Pages>
  <Words>371</Words>
  <Characters>2385</Characters>
  <CharactersWithSpaces>2935</CharactersWithSpaces>
  <Paragraphs>35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2020-12-23T12:13:00Z</dcterms:created>
  <dc:creator>ZDENKO</dc:creator>
  <dc:description/>
  <dc:language>hr-HR</dc:language>
  <cp:lastModifiedBy/>
  <cp:lastPrinted>2024-12-30T09:14:19Z</cp:lastPrinted>
  <dcterms:modified xsi:type="dcterms:W3CDTF">2025-10-03T08:13:04Z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