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Tijeloteksta"/>
        <w:rPr>
          <w:rFonts w:ascii="Times New Roman" w:hAnsi="Times New Roman" w:cs="Times New Roman"/>
          <w:b/>
          <w:b/>
          <w:bCs/>
          <w:sz w:val="22"/>
          <w:szCs w:val="22"/>
        </w:rPr>
      </w:pPr>
      <w:r>
        <w:rPr>
          <w:rFonts w:cs="Times New Roman" w:ascii="Times New Roman" w:hAnsi="Times New Roman"/>
          <w:b/>
          <w:bCs/>
          <w:sz w:val="22"/>
          <w:szCs w:val="22"/>
        </w:rPr>
        <w:t xml:space="preserve">             </w:t>
      </w:r>
    </w:p>
    <w:tbl>
      <w:tblPr>
        <w:tblW w:w="9750" w:type="dxa"/>
        <w:jc w:val="left"/>
        <w:tblInd w:w="-540" w:type="dxa"/>
        <w:tblCellMar>
          <w:top w:w="0" w:type="dxa"/>
          <w:left w:w="108" w:type="dxa"/>
          <w:bottom w:w="0" w:type="dxa"/>
          <w:right w:w="108" w:type="dxa"/>
        </w:tblCellMar>
      </w:tblPr>
      <w:tblGrid>
        <w:gridCol w:w="4140"/>
        <w:gridCol w:w="5610"/>
      </w:tblGrid>
      <w:tr>
        <w:trPr/>
        <w:tc>
          <w:tcPr>
            <w:tcW w:w="4140" w:type="dxa"/>
            <w:tcBorders/>
            <w:shd w:fill="auto" w:val="clear"/>
          </w:tcPr>
          <w:p>
            <w:pPr>
              <w:pStyle w:val="Normal"/>
              <w:spacing w:lineRule="auto" w:line="360"/>
              <w:jc w:val="center"/>
              <w:rPr>
                <w:sz w:val="22"/>
                <w:szCs w:val="22"/>
              </w:rPr>
            </w:pPr>
            <w:r>
              <w:rPr>
                <w:b/>
                <w:bCs/>
                <w:sz w:val="22"/>
                <w:szCs w:val="22"/>
              </w:rPr>
              <w:drawing>
                <wp:inline distT="0" distB="0" distL="0" distR="0">
                  <wp:extent cx="520065" cy="588010"/>
                  <wp:effectExtent l="0" t="0" r="0" b="0"/>
                  <wp:docPr id="1" name="Slik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1" descr=""/>
                          <pic:cNvPicPr>
                            <a:picLocks noChangeAspect="1" noChangeArrowheads="1"/>
                          </pic:cNvPicPr>
                        </pic:nvPicPr>
                        <pic:blipFill>
                          <a:blip r:embed="rId2"/>
                          <a:srcRect l="-199" t="-137" r="-199" b="-137"/>
                          <a:stretch>
                            <a:fillRect/>
                          </a:stretch>
                        </pic:blipFill>
                        <pic:spPr bwMode="auto">
                          <a:xfrm>
                            <a:off x="0" y="0"/>
                            <a:ext cx="520065" cy="588010"/>
                          </a:xfrm>
                          <a:prstGeom prst="rect">
                            <a:avLst/>
                          </a:prstGeom>
                        </pic:spPr>
                      </pic:pic>
                    </a:graphicData>
                  </a:graphic>
                </wp:inline>
              </w:drawing>
            </w:r>
          </w:p>
          <w:p>
            <w:pPr>
              <w:pStyle w:val="Normal"/>
              <w:jc w:val="center"/>
              <w:rPr>
                <w:sz w:val="22"/>
                <w:szCs w:val="22"/>
              </w:rPr>
            </w:pPr>
            <w:r>
              <w:rPr>
                <w:sz w:val="22"/>
                <w:szCs w:val="22"/>
              </w:rPr>
              <w:t>REPUBLIKA HRVATSKA</w:t>
            </w:r>
          </w:p>
          <w:p>
            <w:pPr>
              <w:pStyle w:val="Normal"/>
              <w:jc w:val="center"/>
              <w:rPr>
                <w:sz w:val="22"/>
                <w:szCs w:val="22"/>
              </w:rPr>
            </w:pPr>
            <w:r>
              <w:rPr>
                <w:sz w:val="22"/>
                <w:szCs w:val="22"/>
              </w:rPr>
              <w:t>KRAPINSKO - ZAGORSKA ŽUPANIJA</w:t>
            </w:r>
          </w:p>
          <w:p>
            <w:pPr>
              <w:pStyle w:val="Normal"/>
              <w:jc w:val="center"/>
              <w:rPr>
                <w:sz w:val="22"/>
                <w:szCs w:val="22"/>
              </w:rPr>
            </w:pPr>
            <w:r>
              <w:rPr>
                <w:sz w:val="22"/>
                <w:szCs w:val="22"/>
              </w:rPr>
              <w:t>OPĆINA MIHOVLJAN</w:t>
            </w:r>
          </w:p>
          <w:p>
            <w:pPr>
              <w:pStyle w:val="Normal"/>
              <w:jc w:val="center"/>
              <w:rPr>
                <w:sz w:val="22"/>
                <w:szCs w:val="22"/>
              </w:rPr>
            </w:pPr>
            <w:r>
              <w:rPr>
                <w:sz w:val="22"/>
                <w:szCs w:val="22"/>
              </w:rPr>
              <w:t>OPĆINSKO VIJEĆE</w:t>
            </w:r>
          </w:p>
          <w:p>
            <w:pPr>
              <w:pStyle w:val="Normal"/>
              <w:jc w:val="center"/>
              <w:rPr>
                <w:b/>
                <w:b/>
                <w:sz w:val="22"/>
                <w:szCs w:val="22"/>
                <w:lang w:eastAsia="en-US"/>
              </w:rPr>
            </w:pPr>
            <w:r>
              <w:rPr>
                <w:b/>
                <w:sz w:val="22"/>
                <w:szCs w:val="22"/>
                <w:lang w:eastAsia="en-US"/>
              </w:rPr>
            </w:r>
          </w:p>
        </w:tc>
        <w:tc>
          <w:tcPr>
            <w:tcW w:w="5610" w:type="dxa"/>
            <w:tcBorders/>
            <w:shd w:fill="auto" w:val="clear"/>
          </w:tcPr>
          <w:p>
            <w:pPr>
              <w:pStyle w:val="Normal"/>
              <w:snapToGrid w:val="false"/>
              <w:jc w:val="right"/>
              <w:rPr>
                <w:b/>
                <w:b/>
                <w:sz w:val="22"/>
                <w:szCs w:val="22"/>
                <w:u w:val="single"/>
                <w:lang w:eastAsia="en-US"/>
              </w:rPr>
            </w:pPr>
            <w:r>
              <w:rPr>
                <w:b/>
                <w:sz w:val="22"/>
                <w:szCs w:val="22"/>
                <w:u w:val="single"/>
                <w:lang w:eastAsia="en-US"/>
              </w:rPr>
            </w:r>
          </w:p>
          <w:p>
            <w:pPr>
              <w:pStyle w:val="Normal"/>
              <w:jc w:val="right"/>
              <w:rPr>
                <w:b/>
                <w:b/>
                <w:sz w:val="22"/>
                <w:szCs w:val="22"/>
                <w:u w:val="single"/>
                <w:lang w:eastAsia="en-US"/>
              </w:rPr>
            </w:pPr>
            <w:r>
              <w:rPr>
                <w:b/>
                <w:sz w:val="22"/>
                <w:szCs w:val="22"/>
                <w:u w:val="single"/>
                <w:lang w:eastAsia="en-US"/>
              </w:rPr>
            </w:r>
          </w:p>
          <w:p>
            <w:pPr>
              <w:pStyle w:val="Normal"/>
              <w:jc w:val="right"/>
              <w:rPr>
                <w:b/>
                <w:b/>
                <w:sz w:val="22"/>
                <w:szCs w:val="22"/>
                <w:u w:val="single"/>
                <w:lang w:eastAsia="en-US"/>
              </w:rPr>
            </w:pPr>
            <w:r>
              <w:rPr>
                <w:b/>
                <w:sz w:val="22"/>
                <w:szCs w:val="22"/>
                <w:u w:val="single"/>
                <w:lang w:eastAsia="en-US"/>
              </w:rPr>
            </w:r>
          </w:p>
          <w:p>
            <w:pPr>
              <w:pStyle w:val="Normal"/>
              <w:jc w:val="right"/>
              <w:rPr>
                <w:b/>
                <w:b/>
                <w:sz w:val="22"/>
                <w:szCs w:val="22"/>
                <w:u w:val="single"/>
                <w:lang w:eastAsia="en-US"/>
              </w:rPr>
            </w:pPr>
            <w:r>
              <w:rPr>
                <w:b/>
                <w:sz w:val="22"/>
                <w:szCs w:val="22"/>
                <w:u w:val="single"/>
                <w:lang w:eastAsia="en-US"/>
              </w:rPr>
            </w:r>
          </w:p>
          <w:p>
            <w:pPr>
              <w:pStyle w:val="Normal"/>
              <w:jc w:val="right"/>
              <w:rPr>
                <w:b/>
                <w:b/>
                <w:sz w:val="22"/>
                <w:szCs w:val="22"/>
                <w:u w:val="single"/>
                <w:lang w:eastAsia="en-US"/>
              </w:rPr>
            </w:pPr>
            <w:r>
              <w:rPr>
                <w:b/>
                <w:sz w:val="22"/>
                <w:szCs w:val="22"/>
                <w:u w:val="single"/>
                <w:lang w:eastAsia="en-US"/>
              </w:rPr>
            </w:r>
          </w:p>
        </w:tc>
      </w:tr>
    </w:tbl>
    <w:p>
      <w:pPr>
        <w:pStyle w:val="Normal"/>
        <w:rPr/>
      </w:pPr>
      <w:r>
        <w:rPr>
          <w:sz w:val="22"/>
          <w:szCs w:val="22"/>
        </w:rPr>
        <w:t>KLASA: 610-01/25-01/05</w:t>
      </w:r>
    </w:p>
    <w:p>
      <w:pPr>
        <w:pStyle w:val="Normal"/>
        <w:rPr/>
      </w:pPr>
      <w:r>
        <w:rPr>
          <w:sz w:val="22"/>
          <w:szCs w:val="22"/>
        </w:rPr>
        <w:t>URBROJ: 2140-23-1-25-02</w:t>
      </w:r>
    </w:p>
    <w:p>
      <w:pPr>
        <w:pStyle w:val="Normal"/>
        <w:rPr/>
      </w:pPr>
      <w:r>
        <w:rPr>
          <w:sz w:val="22"/>
          <w:szCs w:val="22"/>
        </w:rPr>
        <w:t>Mihovljan, 19. rujna 2025.</w:t>
      </w:r>
    </w:p>
    <w:p>
      <w:pPr>
        <w:pStyle w:val="Normal"/>
        <w:jc w:val="both"/>
        <w:rPr>
          <w:sz w:val="22"/>
          <w:szCs w:val="22"/>
        </w:rPr>
      </w:pPr>
      <w:r>
        <w:rPr>
          <w:sz w:val="22"/>
          <w:szCs w:val="22"/>
        </w:rPr>
      </w:r>
    </w:p>
    <w:p>
      <w:pPr>
        <w:pStyle w:val="Normal"/>
        <w:ind w:left="0" w:right="0" w:firstLine="708"/>
        <w:jc w:val="both"/>
        <w:rPr/>
      </w:pPr>
      <w:r>
        <w:rPr>
          <w:sz w:val="22"/>
          <w:szCs w:val="22"/>
        </w:rPr>
        <w:t>Na temelju članka 5. Zakona o kulturnim vijećima i financiranju javnih potreba u kulturi ("Narodne novine" br. 83/22) i na temelju članka 75. Zakona o sportu ("Narodne novine" br. 141/22) i članka 39. Statuta Općine Mihovljan (“Službeni glasnik Krapinsko-zagorske županije” br. 5/13 i 11/18, 8/20, 8/21), Općinsko vijeće Općine Mihovljan na svojoj 3. sjednici održanoj dana 19. rujna 2025. godine donijelo je</w:t>
      </w:r>
    </w:p>
    <w:p>
      <w:pPr>
        <w:pStyle w:val="Normal"/>
        <w:numPr>
          <w:ilvl w:val="0"/>
          <w:numId w:val="0"/>
        </w:numPr>
        <w:ind w:left="0" w:right="0" w:hanging="0"/>
        <w:jc w:val="center"/>
        <w:rPr>
          <w:b/>
          <w:b/>
          <w:bCs/>
          <w:sz w:val="22"/>
          <w:szCs w:val="22"/>
        </w:rPr>
      </w:pPr>
      <w:r>
        <w:rPr>
          <w:b/>
          <w:bCs/>
          <w:sz w:val="22"/>
          <w:szCs w:val="22"/>
        </w:rPr>
        <w:t>POLUGODIŠNJE IZVJEŠĆE O IZVRŠENJU PROGRAMA</w:t>
      </w:r>
    </w:p>
    <w:p>
      <w:pPr>
        <w:pStyle w:val="Normal"/>
        <w:autoSpaceDE w:val="false"/>
        <w:jc w:val="center"/>
        <w:rPr/>
      </w:pPr>
      <w:r>
        <w:rPr>
          <w:b/>
          <w:bCs/>
          <w:sz w:val="22"/>
          <w:szCs w:val="22"/>
        </w:rPr>
        <w:t xml:space="preserve">   </w:t>
      </w:r>
      <w:r>
        <w:rPr>
          <w:b/>
          <w:bCs/>
          <w:sz w:val="22"/>
          <w:szCs w:val="22"/>
        </w:rPr>
        <w:t xml:space="preserve">JAVNIH POTREBA U KULTURI I SPORTU ZA 2025. GODINI  </w:t>
      </w:r>
    </w:p>
    <w:p>
      <w:pPr>
        <w:pStyle w:val="Normal"/>
        <w:autoSpaceDE w:val="false"/>
        <w:jc w:val="center"/>
        <w:rPr>
          <w:b/>
          <w:b/>
          <w:bCs/>
          <w:sz w:val="22"/>
          <w:szCs w:val="22"/>
        </w:rPr>
      </w:pPr>
      <w:r>
        <w:rPr>
          <w:b/>
          <w:bCs/>
          <w:sz w:val="22"/>
          <w:szCs w:val="22"/>
        </w:rPr>
        <w:t>za razdoblje 01.01.-30.06.2025.</w:t>
      </w:r>
    </w:p>
    <w:p>
      <w:pPr>
        <w:pStyle w:val="Normal"/>
        <w:jc w:val="center"/>
        <w:rPr>
          <w:b/>
          <w:b/>
          <w:bCs/>
          <w:sz w:val="22"/>
          <w:szCs w:val="22"/>
        </w:rPr>
      </w:pPr>
      <w:r>
        <w:rPr>
          <w:b/>
          <w:bCs/>
          <w:sz w:val="22"/>
          <w:szCs w:val="22"/>
        </w:rPr>
      </w:r>
    </w:p>
    <w:p>
      <w:pPr>
        <w:pStyle w:val="Normal"/>
        <w:jc w:val="center"/>
        <w:rPr>
          <w:b/>
          <w:b/>
          <w:bCs/>
          <w:sz w:val="22"/>
          <w:szCs w:val="22"/>
        </w:rPr>
      </w:pPr>
      <w:r>
        <w:rPr>
          <w:b/>
          <w:bCs/>
          <w:sz w:val="22"/>
          <w:szCs w:val="22"/>
        </w:rPr>
        <w:t>Članak 1.</w:t>
      </w:r>
    </w:p>
    <w:p>
      <w:pPr>
        <w:pStyle w:val="Normal"/>
        <w:ind w:left="0" w:right="0" w:firstLine="709"/>
        <w:jc w:val="both"/>
        <w:rPr>
          <w:sz w:val="22"/>
          <w:szCs w:val="22"/>
        </w:rPr>
      </w:pPr>
      <w:r>
        <w:rPr>
          <w:sz w:val="22"/>
          <w:szCs w:val="22"/>
        </w:rPr>
        <w:t xml:space="preserve">Ovim Programom javnih potreba u kulturi i sportu  (u daljnjem tekstu: Program) utvrđuje se sudjelovanje Općine Mihovljan u sufinanciranju javnih potreba u kulturi i sportu financijskim sredstvima Proračuna Općine Mihovljan kao i investicijska ulaganja u objekte. </w:t>
      </w:r>
    </w:p>
    <w:p>
      <w:pPr>
        <w:pStyle w:val="Normal"/>
        <w:ind w:left="0" w:right="0" w:firstLine="708"/>
        <w:jc w:val="both"/>
        <w:rPr>
          <w:b/>
          <w:b/>
          <w:bCs/>
          <w:sz w:val="22"/>
          <w:szCs w:val="22"/>
        </w:rPr>
      </w:pPr>
      <w:r>
        <w:rPr>
          <w:b/>
          <w:bCs/>
          <w:sz w:val="22"/>
          <w:szCs w:val="22"/>
        </w:rPr>
      </w:r>
    </w:p>
    <w:tbl>
      <w:tblPr>
        <w:tblW w:w="9350" w:type="dxa"/>
        <w:jc w:val="left"/>
        <w:tblInd w:w="-70" w:type="dxa"/>
        <w:tblCellMar>
          <w:top w:w="0" w:type="dxa"/>
          <w:left w:w="108" w:type="dxa"/>
          <w:bottom w:w="0" w:type="dxa"/>
          <w:right w:w="108" w:type="dxa"/>
        </w:tblCellMar>
      </w:tblPr>
      <w:tblGrid>
        <w:gridCol w:w="401"/>
        <w:gridCol w:w="3514"/>
        <w:gridCol w:w="1635"/>
        <w:gridCol w:w="1740"/>
        <w:gridCol w:w="2060"/>
      </w:tblGrid>
      <w:tr>
        <w:trPr>
          <w:trHeight w:val="340" w:hRule="atLeast"/>
        </w:trPr>
        <w:tc>
          <w:tcPr>
            <w:tcW w:w="9350" w:type="dxa"/>
            <w:gridSpan w:val="5"/>
            <w:tcBorders>
              <w:top w:val="single" w:sz="4" w:space="0" w:color="000000"/>
              <w:left w:val="single" w:sz="4" w:space="0" w:color="000000"/>
              <w:bottom w:val="single" w:sz="4" w:space="0" w:color="000000"/>
              <w:right w:val="single" w:sz="4" w:space="0" w:color="000000"/>
            </w:tcBorders>
            <w:shd w:fill="D9D9D9" w:val="clear"/>
          </w:tcPr>
          <w:p>
            <w:pPr>
              <w:pStyle w:val="Normal"/>
              <w:jc w:val="center"/>
              <w:rPr>
                <w:b/>
                <w:b/>
                <w:sz w:val="22"/>
                <w:szCs w:val="22"/>
              </w:rPr>
            </w:pPr>
            <w:r>
              <w:rPr>
                <w:b/>
                <w:sz w:val="22"/>
                <w:szCs w:val="22"/>
              </w:rPr>
              <w:t>KULTURA</w:t>
            </w:r>
          </w:p>
        </w:tc>
      </w:tr>
      <w:tr>
        <w:trPr>
          <w:trHeight w:val="340" w:hRule="atLeast"/>
        </w:trPr>
        <w:tc>
          <w:tcPr>
            <w:tcW w:w="401" w:type="dxa"/>
            <w:tcBorders>
              <w:top w:val="single" w:sz="4" w:space="0" w:color="000000"/>
              <w:left w:val="single" w:sz="4" w:space="0" w:color="000000"/>
              <w:bottom w:val="single" w:sz="4" w:space="0" w:color="000000"/>
            </w:tcBorders>
            <w:shd w:fill="auto" w:val="clear"/>
            <w:vAlign w:val="center"/>
          </w:tcPr>
          <w:p>
            <w:pPr>
              <w:pStyle w:val="Normal"/>
              <w:jc w:val="center"/>
              <w:rPr>
                <w:b/>
                <w:b/>
                <w:sz w:val="22"/>
                <w:szCs w:val="22"/>
              </w:rPr>
            </w:pPr>
            <w:r>
              <w:rPr>
                <w:b/>
                <w:sz w:val="22"/>
                <w:szCs w:val="22"/>
              </w:rPr>
              <w:t>R.br.</w:t>
            </w:r>
          </w:p>
        </w:tc>
        <w:tc>
          <w:tcPr>
            <w:tcW w:w="3514" w:type="dxa"/>
            <w:tcBorders>
              <w:top w:val="single" w:sz="4" w:space="0" w:color="000000"/>
              <w:left w:val="single" w:sz="4" w:space="0" w:color="000000"/>
              <w:bottom w:val="single" w:sz="4" w:space="0" w:color="000000"/>
            </w:tcBorders>
            <w:shd w:fill="auto" w:val="clear"/>
            <w:vAlign w:val="center"/>
          </w:tcPr>
          <w:p>
            <w:pPr>
              <w:pStyle w:val="Normal"/>
              <w:jc w:val="center"/>
              <w:rPr>
                <w:b/>
                <w:b/>
                <w:sz w:val="22"/>
                <w:szCs w:val="22"/>
              </w:rPr>
            </w:pPr>
            <w:r>
              <w:rPr>
                <w:b/>
                <w:sz w:val="22"/>
                <w:szCs w:val="22"/>
              </w:rPr>
              <w:t>Opis stavke</w:t>
            </w:r>
          </w:p>
        </w:tc>
        <w:tc>
          <w:tcPr>
            <w:tcW w:w="1635" w:type="dxa"/>
            <w:tcBorders>
              <w:top w:val="single" w:sz="4" w:space="0" w:color="000000"/>
              <w:left w:val="single" w:sz="4" w:space="0" w:color="000000"/>
              <w:bottom w:val="single" w:sz="4" w:space="0" w:color="000000"/>
            </w:tcBorders>
            <w:shd w:fill="auto" w:val="clear"/>
            <w:vAlign w:val="center"/>
          </w:tcPr>
          <w:p>
            <w:pPr>
              <w:pStyle w:val="Normal"/>
              <w:jc w:val="center"/>
              <w:rPr>
                <w:b/>
                <w:b/>
                <w:sz w:val="22"/>
                <w:szCs w:val="22"/>
              </w:rPr>
            </w:pPr>
            <w:r>
              <w:rPr>
                <w:b/>
                <w:sz w:val="22"/>
                <w:szCs w:val="22"/>
              </w:rPr>
              <w:t>Planirano ukupno (EUR)</w:t>
            </w:r>
          </w:p>
        </w:tc>
        <w:tc>
          <w:tcPr>
            <w:tcW w:w="1740" w:type="dxa"/>
            <w:tcBorders>
              <w:top w:val="single" w:sz="4" w:space="0" w:color="000000"/>
              <w:left w:val="single" w:sz="4" w:space="0" w:color="000000"/>
              <w:bottom w:val="single" w:sz="4" w:space="0" w:color="000000"/>
            </w:tcBorders>
            <w:shd w:fill="auto" w:val="clear"/>
            <w:vAlign w:val="center"/>
          </w:tcPr>
          <w:p>
            <w:pPr>
              <w:pStyle w:val="Normal"/>
              <w:jc w:val="center"/>
              <w:rPr>
                <w:b/>
                <w:b/>
                <w:sz w:val="22"/>
                <w:szCs w:val="22"/>
              </w:rPr>
            </w:pPr>
            <w:r>
              <w:rPr>
                <w:b/>
                <w:sz w:val="22"/>
                <w:szCs w:val="22"/>
              </w:rPr>
              <w:t>I. izmjene i dopune</w:t>
            </w:r>
          </w:p>
        </w:tc>
        <w:tc>
          <w:tcPr>
            <w:tcW w:w="20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b/>
                <w:b/>
                <w:sz w:val="21"/>
                <w:szCs w:val="21"/>
              </w:rPr>
            </w:pPr>
            <w:r>
              <w:rPr>
                <w:b/>
                <w:sz w:val="21"/>
                <w:szCs w:val="21"/>
              </w:rPr>
              <w:t>Izvršenje 01.01.-30.06.2025.</w:t>
            </w:r>
          </w:p>
        </w:tc>
      </w:tr>
      <w:tr>
        <w:trPr>
          <w:trHeight w:val="340" w:hRule="atLeast"/>
        </w:trPr>
        <w:tc>
          <w:tcPr>
            <w:tcW w:w="401" w:type="dxa"/>
            <w:tcBorders>
              <w:top w:val="single" w:sz="4" w:space="0" w:color="000000"/>
              <w:left w:val="single" w:sz="4" w:space="0" w:color="000000"/>
              <w:bottom w:val="single" w:sz="4" w:space="0" w:color="000000"/>
            </w:tcBorders>
            <w:shd w:fill="auto" w:val="clear"/>
            <w:vAlign w:val="center"/>
          </w:tcPr>
          <w:p>
            <w:pPr>
              <w:pStyle w:val="Normal"/>
              <w:rPr>
                <w:sz w:val="22"/>
                <w:szCs w:val="22"/>
              </w:rPr>
            </w:pPr>
            <w:r>
              <w:rPr>
                <w:sz w:val="22"/>
                <w:szCs w:val="22"/>
              </w:rPr>
              <w:t>1</w:t>
            </w:r>
          </w:p>
        </w:tc>
        <w:tc>
          <w:tcPr>
            <w:tcW w:w="3514" w:type="dxa"/>
            <w:tcBorders>
              <w:top w:val="single" w:sz="4" w:space="0" w:color="000000"/>
              <w:left w:val="single" w:sz="4" w:space="0" w:color="000000"/>
              <w:bottom w:val="single" w:sz="4" w:space="0" w:color="000000"/>
            </w:tcBorders>
            <w:shd w:fill="auto" w:val="clear"/>
            <w:vAlign w:val="center"/>
          </w:tcPr>
          <w:p>
            <w:pPr>
              <w:pStyle w:val="Normal"/>
              <w:rPr>
                <w:sz w:val="22"/>
                <w:szCs w:val="22"/>
              </w:rPr>
            </w:pPr>
            <w:r>
              <w:rPr>
                <w:sz w:val="22"/>
                <w:szCs w:val="22"/>
              </w:rPr>
              <w:t xml:space="preserve">Udruge - za kulturu </w:t>
            </w:r>
          </w:p>
        </w:tc>
        <w:tc>
          <w:tcPr>
            <w:tcW w:w="1635"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sz w:val="22"/>
                <w:szCs w:val="22"/>
              </w:rPr>
            </w:pPr>
            <w:r>
              <w:rPr>
                <w:sz w:val="22"/>
                <w:szCs w:val="22"/>
              </w:rPr>
              <w:t>2.000,00</w:t>
            </w:r>
          </w:p>
        </w:tc>
        <w:tc>
          <w:tcPr>
            <w:tcW w:w="1740"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sz w:val="22"/>
                <w:szCs w:val="22"/>
              </w:rPr>
            </w:pPr>
            <w:r>
              <w:rPr>
                <w:sz w:val="22"/>
                <w:szCs w:val="22"/>
              </w:rPr>
              <w:t>2.000,00</w:t>
            </w:r>
          </w:p>
        </w:tc>
        <w:tc>
          <w:tcPr>
            <w:tcW w:w="20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sz w:val="22"/>
                <w:szCs w:val="22"/>
              </w:rPr>
            </w:pPr>
            <w:r>
              <w:rPr>
                <w:sz w:val="22"/>
                <w:szCs w:val="22"/>
              </w:rPr>
              <w:t>1.000,00</w:t>
            </w:r>
          </w:p>
        </w:tc>
      </w:tr>
      <w:tr>
        <w:trPr>
          <w:trHeight w:val="340" w:hRule="atLeast"/>
        </w:trPr>
        <w:tc>
          <w:tcPr>
            <w:tcW w:w="401" w:type="dxa"/>
            <w:tcBorders>
              <w:top w:val="single" w:sz="4" w:space="0" w:color="000000"/>
              <w:left w:val="single" w:sz="4" w:space="0" w:color="000000"/>
              <w:bottom w:val="single" w:sz="4" w:space="0" w:color="000000"/>
            </w:tcBorders>
            <w:shd w:fill="auto" w:val="clear"/>
            <w:vAlign w:val="center"/>
          </w:tcPr>
          <w:p>
            <w:pPr>
              <w:pStyle w:val="Normal"/>
              <w:rPr>
                <w:sz w:val="22"/>
                <w:szCs w:val="22"/>
              </w:rPr>
            </w:pPr>
            <w:r>
              <w:rPr>
                <w:sz w:val="22"/>
                <w:szCs w:val="22"/>
              </w:rPr>
              <w:t>2.</w:t>
            </w:r>
          </w:p>
        </w:tc>
        <w:tc>
          <w:tcPr>
            <w:tcW w:w="3514" w:type="dxa"/>
            <w:tcBorders>
              <w:top w:val="single" w:sz="4" w:space="0" w:color="000000"/>
              <w:left w:val="single" w:sz="4" w:space="0" w:color="000000"/>
              <w:bottom w:val="single" w:sz="4" w:space="0" w:color="000000"/>
            </w:tcBorders>
            <w:shd w:fill="auto" w:val="clear"/>
            <w:vAlign w:val="center"/>
          </w:tcPr>
          <w:p>
            <w:pPr>
              <w:pStyle w:val="Normal"/>
              <w:rPr>
                <w:sz w:val="22"/>
                <w:szCs w:val="22"/>
              </w:rPr>
            </w:pPr>
            <w:r>
              <w:rPr>
                <w:sz w:val="22"/>
                <w:szCs w:val="22"/>
              </w:rPr>
              <w:t xml:space="preserve">Kazališne predstave </w:t>
            </w:r>
          </w:p>
        </w:tc>
        <w:tc>
          <w:tcPr>
            <w:tcW w:w="1635"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sz w:val="22"/>
                <w:szCs w:val="22"/>
              </w:rPr>
            </w:pPr>
            <w:r>
              <w:rPr>
                <w:sz w:val="22"/>
                <w:szCs w:val="22"/>
              </w:rPr>
              <w:t>6.000,00</w:t>
            </w:r>
          </w:p>
        </w:tc>
        <w:tc>
          <w:tcPr>
            <w:tcW w:w="1740"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sz w:val="22"/>
                <w:szCs w:val="22"/>
              </w:rPr>
            </w:pPr>
            <w:r>
              <w:rPr>
                <w:sz w:val="22"/>
                <w:szCs w:val="22"/>
              </w:rPr>
              <w:t>6.000,00</w:t>
            </w:r>
          </w:p>
        </w:tc>
        <w:tc>
          <w:tcPr>
            <w:tcW w:w="20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sz w:val="22"/>
                <w:szCs w:val="22"/>
              </w:rPr>
            </w:pPr>
            <w:r>
              <w:rPr>
                <w:sz w:val="22"/>
                <w:szCs w:val="22"/>
              </w:rPr>
              <w:t>5.500,00</w:t>
            </w:r>
          </w:p>
        </w:tc>
      </w:tr>
      <w:tr>
        <w:trPr>
          <w:trHeight w:val="340" w:hRule="atLeast"/>
        </w:trPr>
        <w:tc>
          <w:tcPr>
            <w:tcW w:w="401" w:type="dxa"/>
            <w:tcBorders>
              <w:top w:val="single" w:sz="4" w:space="0" w:color="000000"/>
              <w:left w:val="single" w:sz="4" w:space="0" w:color="000000"/>
              <w:bottom w:val="single" w:sz="4" w:space="0" w:color="000000"/>
            </w:tcBorders>
            <w:shd w:fill="auto" w:val="clear"/>
            <w:vAlign w:val="center"/>
          </w:tcPr>
          <w:p>
            <w:pPr>
              <w:pStyle w:val="Normal"/>
              <w:rPr>
                <w:sz w:val="22"/>
                <w:szCs w:val="22"/>
              </w:rPr>
            </w:pPr>
            <w:r>
              <w:rPr>
                <w:sz w:val="22"/>
                <w:szCs w:val="22"/>
              </w:rPr>
              <w:t>3.</w:t>
            </w:r>
          </w:p>
        </w:tc>
        <w:tc>
          <w:tcPr>
            <w:tcW w:w="3514" w:type="dxa"/>
            <w:tcBorders>
              <w:top w:val="single" w:sz="4" w:space="0" w:color="000000"/>
              <w:left w:val="single" w:sz="4" w:space="0" w:color="000000"/>
              <w:bottom w:val="single" w:sz="4" w:space="0" w:color="000000"/>
            </w:tcBorders>
            <w:shd w:fill="auto" w:val="clear"/>
            <w:vAlign w:val="center"/>
          </w:tcPr>
          <w:p>
            <w:pPr>
              <w:pStyle w:val="Normal"/>
              <w:rPr>
                <w:sz w:val="22"/>
                <w:szCs w:val="22"/>
              </w:rPr>
            </w:pPr>
            <w:r>
              <w:rPr>
                <w:sz w:val="22"/>
                <w:szCs w:val="22"/>
              </w:rPr>
              <w:t>Donacije župnoj crkvi Mihovljan</w:t>
            </w:r>
          </w:p>
        </w:tc>
        <w:tc>
          <w:tcPr>
            <w:tcW w:w="1635"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sz w:val="22"/>
                <w:szCs w:val="22"/>
              </w:rPr>
            </w:pPr>
            <w:r>
              <w:rPr>
                <w:sz w:val="22"/>
                <w:szCs w:val="22"/>
              </w:rPr>
              <w:t>2.000,00</w:t>
            </w:r>
          </w:p>
        </w:tc>
        <w:tc>
          <w:tcPr>
            <w:tcW w:w="1740"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sz w:val="22"/>
                <w:szCs w:val="22"/>
              </w:rPr>
            </w:pPr>
            <w:r>
              <w:rPr>
                <w:sz w:val="22"/>
                <w:szCs w:val="22"/>
              </w:rPr>
              <w:t>2.000,00</w:t>
            </w:r>
          </w:p>
        </w:tc>
        <w:tc>
          <w:tcPr>
            <w:tcW w:w="20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sz w:val="22"/>
                <w:szCs w:val="22"/>
              </w:rPr>
            </w:pPr>
            <w:r>
              <w:rPr>
                <w:sz w:val="22"/>
                <w:szCs w:val="22"/>
              </w:rPr>
              <w:t>0,00</w:t>
            </w:r>
          </w:p>
        </w:tc>
      </w:tr>
      <w:tr>
        <w:trPr>
          <w:trHeight w:val="340" w:hRule="atLeast"/>
        </w:trPr>
        <w:tc>
          <w:tcPr>
            <w:tcW w:w="401" w:type="dxa"/>
            <w:tcBorders>
              <w:top w:val="single" w:sz="4" w:space="0" w:color="000000"/>
              <w:left w:val="single" w:sz="4" w:space="0" w:color="000000"/>
              <w:bottom w:val="single" w:sz="4" w:space="0" w:color="000000"/>
            </w:tcBorders>
            <w:shd w:fill="auto" w:val="clear"/>
            <w:vAlign w:val="center"/>
          </w:tcPr>
          <w:p>
            <w:pPr>
              <w:pStyle w:val="Normal"/>
              <w:rPr>
                <w:sz w:val="22"/>
                <w:szCs w:val="22"/>
              </w:rPr>
            </w:pPr>
            <w:r>
              <w:rPr>
                <w:sz w:val="22"/>
                <w:szCs w:val="22"/>
              </w:rPr>
              <w:t>4.</w:t>
            </w:r>
          </w:p>
        </w:tc>
        <w:tc>
          <w:tcPr>
            <w:tcW w:w="3514" w:type="dxa"/>
            <w:tcBorders>
              <w:top w:val="single" w:sz="4" w:space="0" w:color="000000"/>
              <w:left w:val="single" w:sz="4" w:space="0" w:color="000000"/>
              <w:bottom w:val="single" w:sz="4" w:space="0" w:color="000000"/>
            </w:tcBorders>
            <w:shd w:fill="auto" w:val="clear"/>
            <w:vAlign w:val="center"/>
          </w:tcPr>
          <w:p>
            <w:pPr>
              <w:pStyle w:val="Normal"/>
              <w:rPr>
                <w:sz w:val="22"/>
                <w:szCs w:val="22"/>
              </w:rPr>
            </w:pPr>
            <w:r>
              <w:rPr>
                <w:sz w:val="22"/>
                <w:szCs w:val="22"/>
              </w:rPr>
              <w:t>Izdaci za obilježavanje Dana Općine i župe Mihovljan</w:t>
            </w:r>
          </w:p>
        </w:tc>
        <w:tc>
          <w:tcPr>
            <w:tcW w:w="1635"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sz w:val="22"/>
                <w:szCs w:val="22"/>
              </w:rPr>
            </w:pPr>
            <w:r>
              <w:rPr>
                <w:sz w:val="22"/>
                <w:szCs w:val="22"/>
              </w:rPr>
              <w:t>35.000,00</w:t>
            </w:r>
          </w:p>
        </w:tc>
        <w:tc>
          <w:tcPr>
            <w:tcW w:w="1740"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sz w:val="22"/>
                <w:szCs w:val="22"/>
              </w:rPr>
            </w:pPr>
            <w:r>
              <w:rPr>
                <w:sz w:val="22"/>
                <w:szCs w:val="22"/>
              </w:rPr>
              <w:t>35.000,00</w:t>
            </w:r>
          </w:p>
        </w:tc>
        <w:tc>
          <w:tcPr>
            <w:tcW w:w="20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sz w:val="22"/>
                <w:szCs w:val="22"/>
              </w:rPr>
            </w:pPr>
            <w:r>
              <w:rPr>
                <w:sz w:val="22"/>
                <w:szCs w:val="22"/>
              </w:rPr>
              <w:t>0,00</w:t>
            </w:r>
          </w:p>
        </w:tc>
      </w:tr>
      <w:tr>
        <w:trPr>
          <w:trHeight w:val="340" w:hRule="atLeast"/>
        </w:trPr>
        <w:tc>
          <w:tcPr>
            <w:tcW w:w="401" w:type="dxa"/>
            <w:tcBorders>
              <w:top w:val="single" w:sz="4" w:space="0" w:color="000000"/>
              <w:left w:val="single" w:sz="4" w:space="0" w:color="000000"/>
              <w:bottom w:val="single" w:sz="4" w:space="0" w:color="000000"/>
            </w:tcBorders>
            <w:shd w:fill="auto" w:val="clear"/>
            <w:vAlign w:val="center"/>
          </w:tcPr>
          <w:p>
            <w:pPr>
              <w:pStyle w:val="Normal"/>
              <w:rPr>
                <w:sz w:val="22"/>
                <w:szCs w:val="22"/>
              </w:rPr>
            </w:pPr>
            <w:r>
              <w:rPr>
                <w:sz w:val="22"/>
                <w:szCs w:val="22"/>
              </w:rPr>
              <w:t>5.</w:t>
            </w:r>
          </w:p>
        </w:tc>
        <w:tc>
          <w:tcPr>
            <w:tcW w:w="3514" w:type="dxa"/>
            <w:tcBorders>
              <w:top w:val="single" w:sz="4" w:space="0" w:color="000000"/>
              <w:left w:val="single" w:sz="4" w:space="0" w:color="000000"/>
              <w:bottom w:val="single" w:sz="4" w:space="0" w:color="000000"/>
            </w:tcBorders>
            <w:shd w:fill="auto" w:val="clear"/>
            <w:vAlign w:val="center"/>
          </w:tcPr>
          <w:p>
            <w:pPr>
              <w:pStyle w:val="Normal"/>
              <w:rPr>
                <w:sz w:val="22"/>
                <w:szCs w:val="22"/>
              </w:rPr>
            </w:pPr>
            <w:r>
              <w:rPr>
                <w:sz w:val="22"/>
                <w:szCs w:val="22"/>
              </w:rPr>
              <w:t>Izdaci za manifestacije, obilježavanje važnih obljetnica i događanja</w:t>
            </w:r>
          </w:p>
        </w:tc>
        <w:tc>
          <w:tcPr>
            <w:tcW w:w="1635"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sz w:val="22"/>
                <w:szCs w:val="22"/>
              </w:rPr>
            </w:pPr>
            <w:r>
              <w:rPr>
                <w:sz w:val="22"/>
                <w:szCs w:val="22"/>
              </w:rPr>
              <w:t>10.000,00</w:t>
            </w:r>
          </w:p>
        </w:tc>
        <w:tc>
          <w:tcPr>
            <w:tcW w:w="1740"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sz w:val="22"/>
                <w:szCs w:val="22"/>
              </w:rPr>
            </w:pPr>
            <w:r>
              <w:rPr>
                <w:sz w:val="22"/>
                <w:szCs w:val="22"/>
              </w:rPr>
              <w:t>10.000,00</w:t>
            </w:r>
          </w:p>
        </w:tc>
        <w:tc>
          <w:tcPr>
            <w:tcW w:w="20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pPr>
            <w:r>
              <w:rPr/>
              <w:t>0,00</w:t>
            </w:r>
          </w:p>
        </w:tc>
      </w:tr>
      <w:tr>
        <w:trPr>
          <w:trHeight w:val="340" w:hRule="atLeast"/>
        </w:trPr>
        <w:tc>
          <w:tcPr>
            <w:tcW w:w="401" w:type="dxa"/>
            <w:tcBorders>
              <w:left w:val="single" w:sz="4" w:space="0" w:color="000000"/>
              <w:bottom w:val="single" w:sz="4" w:space="0" w:color="000000"/>
            </w:tcBorders>
            <w:shd w:fill="auto" w:val="clear"/>
            <w:vAlign w:val="center"/>
          </w:tcPr>
          <w:p>
            <w:pPr>
              <w:pStyle w:val="Normal"/>
              <w:rPr>
                <w:sz w:val="22"/>
                <w:szCs w:val="22"/>
              </w:rPr>
            </w:pPr>
            <w:r>
              <w:rPr>
                <w:sz w:val="22"/>
                <w:szCs w:val="22"/>
              </w:rPr>
              <w:t>6.</w:t>
            </w:r>
          </w:p>
        </w:tc>
        <w:tc>
          <w:tcPr>
            <w:tcW w:w="3514" w:type="dxa"/>
            <w:tcBorders>
              <w:left w:val="single" w:sz="4" w:space="0" w:color="000000"/>
              <w:bottom w:val="single" w:sz="4" w:space="0" w:color="000000"/>
            </w:tcBorders>
            <w:shd w:fill="auto" w:val="clear"/>
            <w:vAlign w:val="center"/>
          </w:tcPr>
          <w:p>
            <w:pPr>
              <w:pStyle w:val="Normal"/>
              <w:rPr>
                <w:sz w:val="22"/>
                <w:szCs w:val="22"/>
              </w:rPr>
            </w:pPr>
            <w:r>
              <w:rPr>
                <w:sz w:val="22"/>
                <w:szCs w:val="22"/>
              </w:rPr>
              <w:t>Kapelica na mjesnom groblju</w:t>
            </w:r>
          </w:p>
        </w:tc>
        <w:tc>
          <w:tcPr>
            <w:tcW w:w="1635" w:type="dxa"/>
            <w:tcBorders>
              <w:left w:val="single" w:sz="4" w:space="0" w:color="000000"/>
              <w:bottom w:val="single" w:sz="4" w:space="0" w:color="000000"/>
            </w:tcBorders>
            <w:shd w:fill="auto" w:val="clear"/>
            <w:vAlign w:val="center"/>
          </w:tcPr>
          <w:p>
            <w:pPr>
              <w:pStyle w:val="Normal"/>
              <w:snapToGrid w:val="false"/>
              <w:jc w:val="center"/>
              <w:rPr>
                <w:sz w:val="22"/>
                <w:szCs w:val="22"/>
              </w:rPr>
            </w:pPr>
            <w:r>
              <w:rPr>
                <w:sz w:val="22"/>
                <w:szCs w:val="22"/>
              </w:rPr>
              <w:t>10.000,00</w:t>
            </w:r>
          </w:p>
        </w:tc>
        <w:tc>
          <w:tcPr>
            <w:tcW w:w="1740" w:type="dxa"/>
            <w:tcBorders>
              <w:left w:val="single" w:sz="4" w:space="0" w:color="000000"/>
              <w:bottom w:val="single" w:sz="4" w:space="0" w:color="000000"/>
            </w:tcBorders>
            <w:shd w:fill="auto" w:val="clear"/>
            <w:vAlign w:val="center"/>
          </w:tcPr>
          <w:p>
            <w:pPr>
              <w:pStyle w:val="Normal"/>
              <w:snapToGrid w:val="false"/>
              <w:jc w:val="center"/>
              <w:rPr>
                <w:sz w:val="22"/>
                <w:szCs w:val="22"/>
              </w:rPr>
            </w:pPr>
            <w:r>
              <w:rPr>
                <w:sz w:val="22"/>
                <w:szCs w:val="22"/>
              </w:rPr>
              <w:t>10.000,00</w:t>
            </w:r>
          </w:p>
        </w:tc>
        <w:tc>
          <w:tcPr>
            <w:tcW w:w="2060" w:type="dxa"/>
            <w:tcBorders>
              <w:left w:val="single" w:sz="4" w:space="0" w:color="000000"/>
              <w:bottom w:val="single" w:sz="4" w:space="0" w:color="000000"/>
              <w:right w:val="single" w:sz="4" w:space="0" w:color="000000"/>
            </w:tcBorders>
            <w:shd w:fill="auto" w:val="clear"/>
            <w:vAlign w:val="center"/>
          </w:tcPr>
          <w:p>
            <w:pPr>
              <w:pStyle w:val="Normal"/>
              <w:snapToGrid w:val="false"/>
              <w:jc w:val="center"/>
              <w:rPr>
                <w:sz w:val="22"/>
                <w:szCs w:val="22"/>
              </w:rPr>
            </w:pPr>
            <w:r>
              <w:rPr>
                <w:sz w:val="22"/>
                <w:szCs w:val="22"/>
              </w:rPr>
              <w:t>0,00</w:t>
            </w:r>
          </w:p>
        </w:tc>
      </w:tr>
      <w:tr>
        <w:trPr>
          <w:trHeight w:val="340" w:hRule="atLeast"/>
        </w:trPr>
        <w:tc>
          <w:tcPr>
            <w:tcW w:w="401" w:type="dxa"/>
            <w:tcBorders>
              <w:left w:val="single" w:sz="4" w:space="0" w:color="000000"/>
              <w:bottom w:val="single" w:sz="4" w:space="0" w:color="000000"/>
            </w:tcBorders>
            <w:shd w:fill="auto" w:val="clear"/>
            <w:vAlign w:val="center"/>
          </w:tcPr>
          <w:p>
            <w:pPr>
              <w:pStyle w:val="Normal"/>
              <w:rPr>
                <w:sz w:val="22"/>
                <w:szCs w:val="22"/>
              </w:rPr>
            </w:pPr>
            <w:r>
              <w:rPr>
                <w:sz w:val="22"/>
                <w:szCs w:val="22"/>
              </w:rPr>
              <w:t>7.</w:t>
            </w:r>
          </w:p>
        </w:tc>
        <w:tc>
          <w:tcPr>
            <w:tcW w:w="3514" w:type="dxa"/>
            <w:tcBorders>
              <w:left w:val="single" w:sz="4" w:space="0" w:color="000000"/>
              <w:bottom w:val="single" w:sz="4" w:space="0" w:color="000000"/>
            </w:tcBorders>
            <w:shd w:fill="auto" w:val="clear"/>
            <w:vAlign w:val="center"/>
          </w:tcPr>
          <w:p>
            <w:pPr>
              <w:pStyle w:val="Normal"/>
              <w:rPr>
                <w:sz w:val="22"/>
                <w:szCs w:val="22"/>
              </w:rPr>
            </w:pPr>
            <w:r>
              <w:rPr>
                <w:sz w:val="22"/>
                <w:szCs w:val="22"/>
              </w:rPr>
              <w:t xml:space="preserve">Rekonstrukcija postojeće građevine i provođenje namjeni multifunkcionalnog kulturnog i prezentacijskog centra u Mihovljanu </w:t>
            </w:r>
          </w:p>
        </w:tc>
        <w:tc>
          <w:tcPr>
            <w:tcW w:w="1635" w:type="dxa"/>
            <w:tcBorders>
              <w:left w:val="single" w:sz="4" w:space="0" w:color="000000"/>
              <w:bottom w:val="single" w:sz="4" w:space="0" w:color="000000"/>
            </w:tcBorders>
            <w:shd w:fill="auto" w:val="clear"/>
            <w:vAlign w:val="center"/>
          </w:tcPr>
          <w:p>
            <w:pPr>
              <w:pStyle w:val="Normal"/>
              <w:snapToGrid w:val="false"/>
              <w:jc w:val="center"/>
              <w:rPr>
                <w:sz w:val="22"/>
                <w:szCs w:val="22"/>
              </w:rPr>
            </w:pPr>
            <w:r>
              <w:rPr>
                <w:sz w:val="22"/>
                <w:szCs w:val="22"/>
              </w:rPr>
              <w:t>15.000,00</w:t>
            </w:r>
          </w:p>
        </w:tc>
        <w:tc>
          <w:tcPr>
            <w:tcW w:w="1740" w:type="dxa"/>
            <w:tcBorders>
              <w:left w:val="single" w:sz="4" w:space="0" w:color="000000"/>
              <w:bottom w:val="single" w:sz="4" w:space="0" w:color="000000"/>
            </w:tcBorders>
            <w:shd w:fill="auto" w:val="clear"/>
            <w:vAlign w:val="center"/>
          </w:tcPr>
          <w:p>
            <w:pPr>
              <w:pStyle w:val="Normal"/>
              <w:snapToGrid w:val="false"/>
              <w:jc w:val="center"/>
              <w:rPr>
                <w:sz w:val="22"/>
                <w:szCs w:val="22"/>
              </w:rPr>
            </w:pPr>
            <w:r>
              <w:rPr>
                <w:sz w:val="22"/>
                <w:szCs w:val="22"/>
              </w:rPr>
              <w:t>15.000,00</w:t>
            </w:r>
          </w:p>
        </w:tc>
        <w:tc>
          <w:tcPr>
            <w:tcW w:w="2060" w:type="dxa"/>
            <w:tcBorders>
              <w:left w:val="single" w:sz="4" w:space="0" w:color="000000"/>
              <w:bottom w:val="single" w:sz="4" w:space="0" w:color="000000"/>
              <w:right w:val="single" w:sz="4" w:space="0" w:color="000000"/>
            </w:tcBorders>
            <w:shd w:fill="auto" w:val="clear"/>
            <w:vAlign w:val="center"/>
          </w:tcPr>
          <w:p>
            <w:pPr>
              <w:pStyle w:val="Normal"/>
              <w:snapToGrid w:val="false"/>
              <w:jc w:val="center"/>
              <w:rPr>
                <w:sz w:val="22"/>
                <w:szCs w:val="22"/>
              </w:rPr>
            </w:pPr>
            <w:r>
              <w:rPr>
                <w:sz w:val="22"/>
                <w:szCs w:val="22"/>
              </w:rPr>
              <w:t>0,00</w:t>
            </w:r>
          </w:p>
        </w:tc>
      </w:tr>
      <w:tr>
        <w:trPr>
          <w:trHeight w:val="340" w:hRule="atLeast"/>
        </w:trPr>
        <w:tc>
          <w:tcPr>
            <w:tcW w:w="401" w:type="dxa"/>
            <w:tcBorders>
              <w:left w:val="single" w:sz="4" w:space="0" w:color="000000"/>
              <w:bottom w:val="single" w:sz="4" w:space="0" w:color="000000"/>
            </w:tcBorders>
            <w:shd w:fill="auto" w:val="clear"/>
            <w:vAlign w:val="center"/>
          </w:tcPr>
          <w:p>
            <w:pPr>
              <w:pStyle w:val="Normal"/>
              <w:rPr>
                <w:sz w:val="22"/>
                <w:szCs w:val="22"/>
              </w:rPr>
            </w:pPr>
            <w:r>
              <w:rPr>
                <w:sz w:val="22"/>
                <w:szCs w:val="22"/>
              </w:rPr>
              <w:t>8.</w:t>
            </w:r>
          </w:p>
        </w:tc>
        <w:tc>
          <w:tcPr>
            <w:tcW w:w="3514" w:type="dxa"/>
            <w:tcBorders>
              <w:left w:val="single" w:sz="4" w:space="0" w:color="000000"/>
              <w:bottom w:val="single" w:sz="4" w:space="0" w:color="000000"/>
            </w:tcBorders>
            <w:shd w:fill="auto" w:val="clear"/>
            <w:vAlign w:val="center"/>
          </w:tcPr>
          <w:p>
            <w:pPr>
              <w:pStyle w:val="Normal"/>
              <w:rPr>
                <w:sz w:val="22"/>
                <w:szCs w:val="22"/>
              </w:rPr>
            </w:pPr>
            <w:r>
              <w:rPr>
                <w:sz w:val="22"/>
                <w:szCs w:val="22"/>
              </w:rPr>
              <w:t>Kapitalna donacija crkvi Mihovljan</w:t>
            </w:r>
          </w:p>
        </w:tc>
        <w:tc>
          <w:tcPr>
            <w:tcW w:w="1635" w:type="dxa"/>
            <w:tcBorders>
              <w:left w:val="single" w:sz="4" w:space="0" w:color="000000"/>
              <w:bottom w:val="single" w:sz="4" w:space="0" w:color="000000"/>
            </w:tcBorders>
            <w:shd w:fill="auto" w:val="clear"/>
            <w:vAlign w:val="center"/>
          </w:tcPr>
          <w:p>
            <w:pPr>
              <w:pStyle w:val="Normal"/>
              <w:snapToGrid w:val="false"/>
              <w:jc w:val="center"/>
              <w:rPr>
                <w:sz w:val="22"/>
                <w:szCs w:val="22"/>
              </w:rPr>
            </w:pPr>
            <w:r>
              <w:rPr>
                <w:sz w:val="22"/>
                <w:szCs w:val="22"/>
              </w:rPr>
              <w:t>0,00</w:t>
            </w:r>
          </w:p>
        </w:tc>
        <w:tc>
          <w:tcPr>
            <w:tcW w:w="1740" w:type="dxa"/>
            <w:tcBorders>
              <w:left w:val="single" w:sz="4" w:space="0" w:color="000000"/>
              <w:bottom w:val="single" w:sz="4" w:space="0" w:color="000000"/>
            </w:tcBorders>
            <w:shd w:fill="auto" w:val="clear"/>
            <w:vAlign w:val="center"/>
          </w:tcPr>
          <w:p>
            <w:pPr>
              <w:pStyle w:val="Normal"/>
              <w:snapToGrid w:val="false"/>
              <w:jc w:val="center"/>
              <w:rPr>
                <w:sz w:val="22"/>
                <w:szCs w:val="22"/>
              </w:rPr>
            </w:pPr>
            <w:r>
              <w:rPr>
                <w:sz w:val="22"/>
                <w:szCs w:val="22"/>
              </w:rPr>
              <w:t>15.000,00</w:t>
            </w:r>
          </w:p>
        </w:tc>
        <w:tc>
          <w:tcPr>
            <w:tcW w:w="2060" w:type="dxa"/>
            <w:tcBorders>
              <w:left w:val="single" w:sz="4" w:space="0" w:color="000000"/>
              <w:bottom w:val="single" w:sz="4" w:space="0" w:color="000000"/>
              <w:right w:val="single" w:sz="4" w:space="0" w:color="000000"/>
            </w:tcBorders>
            <w:shd w:fill="auto" w:val="clear"/>
            <w:vAlign w:val="center"/>
          </w:tcPr>
          <w:p>
            <w:pPr>
              <w:pStyle w:val="Normal"/>
              <w:snapToGrid w:val="false"/>
              <w:jc w:val="center"/>
              <w:rPr>
                <w:sz w:val="22"/>
                <w:szCs w:val="22"/>
              </w:rPr>
            </w:pPr>
            <w:r>
              <w:rPr>
                <w:sz w:val="22"/>
                <w:szCs w:val="22"/>
              </w:rPr>
              <w:t>15.000,00</w:t>
            </w:r>
          </w:p>
        </w:tc>
      </w:tr>
      <w:tr>
        <w:trPr>
          <w:trHeight w:val="340" w:hRule="atLeast"/>
        </w:trPr>
        <w:tc>
          <w:tcPr>
            <w:tcW w:w="401" w:type="dxa"/>
            <w:tcBorders>
              <w:left w:val="single" w:sz="4" w:space="0" w:color="000000"/>
              <w:bottom w:val="single" w:sz="4" w:space="0" w:color="000000"/>
            </w:tcBorders>
            <w:shd w:fill="auto" w:val="clear"/>
            <w:vAlign w:val="center"/>
          </w:tcPr>
          <w:p>
            <w:pPr>
              <w:pStyle w:val="Normal"/>
              <w:snapToGrid w:val="false"/>
              <w:jc w:val="right"/>
              <w:rPr>
                <w:b/>
                <w:b/>
                <w:bCs/>
                <w:sz w:val="22"/>
                <w:szCs w:val="22"/>
              </w:rPr>
            </w:pPr>
            <w:r>
              <w:rPr>
                <w:b/>
                <w:bCs/>
                <w:sz w:val="22"/>
                <w:szCs w:val="22"/>
              </w:rPr>
            </w:r>
          </w:p>
        </w:tc>
        <w:tc>
          <w:tcPr>
            <w:tcW w:w="3514" w:type="dxa"/>
            <w:tcBorders>
              <w:left w:val="single" w:sz="4" w:space="0" w:color="000000"/>
              <w:bottom w:val="single" w:sz="4" w:space="0" w:color="000000"/>
            </w:tcBorders>
            <w:shd w:fill="auto" w:val="clear"/>
            <w:vAlign w:val="center"/>
          </w:tcPr>
          <w:p>
            <w:pPr>
              <w:pStyle w:val="Normal"/>
              <w:rPr>
                <w:b/>
                <w:b/>
                <w:bCs/>
                <w:sz w:val="22"/>
                <w:szCs w:val="22"/>
              </w:rPr>
            </w:pPr>
            <w:r>
              <w:rPr>
                <w:b/>
                <w:bCs/>
                <w:sz w:val="22"/>
                <w:szCs w:val="22"/>
              </w:rPr>
              <w:t>SVEUKUPNO</w:t>
            </w:r>
          </w:p>
        </w:tc>
        <w:tc>
          <w:tcPr>
            <w:tcW w:w="1635" w:type="dxa"/>
            <w:tcBorders>
              <w:left w:val="single" w:sz="4" w:space="0" w:color="000000"/>
              <w:bottom w:val="single" w:sz="4" w:space="0" w:color="000000"/>
            </w:tcBorders>
            <w:shd w:fill="auto" w:val="clear"/>
            <w:vAlign w:val="center"/>
          </w:tcPr>
          <w:p>
            <w:pPr>
              <w:pStyle w:val="Normal"/>
              <w:snapToGrid w:val="false"/>
              <w:jc w:val="center"/>
              <w:rPr>
                <w:b/>
                <w:b/>
                <w:bCs/>
                <w:sz w:val="22"/>
                <w:szCs w:val="22"/>
              </w:rPr>
            </w:pPr>
            <w:r>
              <w:rPr>
                <w:b/>
                <w:bCs/>
                <w:sz w:val="22"/>
                <w:szCs w:val="22"/>
              </w:rPr>
              <w:t>80.000,00</w:t>
            </w:r>
          </w:p>
        </w:tc>
        <w:tc>
          <w:tcPr>
            <w:tcW w:w="1740" w:type="dxa"/>
            <w:tcBorders>
              <w:left w:val="single" w:sz="4" w:space="0" w:color="000000"/>
              <w:bottom w:val="single" w:sz="4" w:space="0" w:color="000000"/>
            </w:tcBorders>
            <w:shd w:fill="auto" w:val="clear"/>
            <w:vAlign w:val="center"/>
          </w:tcPr>
          <w:p>
            <w:pPr>
              <w:pStyle w:val="Normal"/>
              <w:snapToGrid w:val="false"/>
              <w:jc w:val="center"/>
              <w:rPr>
                <w:b/>
                <w:b/>
                <w:bCs/>
                <w:sz w:val="22"/>
                <w:szCs w:val="22"/>
              </w:rPr>
            </w:pPr>
            <w:r>
              <w:rPr>
                <w:b/>
                <w:bCs/>
                <w:sz w:val="22"/>
                <w:szCs w:val="22"/>
              </w:rPr>
              <w:t>95.000,00</w:t>
            </w:r>
          </w:p>
        </w:tc>
        <w:tc>
          <w:tcPr>
            <w:tcW w:w="2060" w:type="dxa"/>
            <w:tcBorders>
              <w:left w:val="single" w:sz="4" w:space="0" w:color="000000"/>
              <w:bottom w:val="single" w:sz="4" w:space="0" w:color="000000"/>
              <w:right w:val="single" w:sz="4" w:space="0" w:color="000000"/>
            </w:tcBorders>
            <w:shd w:fill="auto" w:val="clear"/>
            <w:vAlign w:val="center"/>
          </w:tcPr>
          <w:p>
            <w:pPr>
              <w:pStyle w:val="Normal"/>
              <w:snapToGrid w:val="false"/>
              <w:jc w:val="center"/>
              <w:rPr>
                <w:b/>
                <w:b/>
                <w:bCs/>
                <w:sz w:val="22"/>
                <w:szCs w:val="22"/>
              </w:rPr>
            </w:pPr>
            <w:r>
              <w:rPr>
                <w:b/>
                <w:bCs/>
                <w:sz w:val="22"/>
                <w:szCs w:val="22"/>
              </w:rPr>
              <w:t>21.500,00</w:t>
            </w:r>
          </w:p>
        </w:tc>
      </w:tr>
    </w:tbl>
    <w:p>
      <w:pPr>
        <w:pStyle w:val="Normal"/>
        <w:ind w:left="0" w:right="0" w:firstLine="708"/>
        <w:jc w:val="both"/>
        <w:rPr>
          <w:sz w:val="22"/>
          <w:szCs w:val="22"/>
        </w:rPr>
      </w:pPr>
      <w:r>
        <w:rPr>
          <w:sz w:val="22"/>
          <w:szCs w:val="22"/>
        </w:rPr>
      </w:r>
    </w:p>
    <w:tbl>
      <w:tblPr>
        <w:tblW w:w="9350" w:type="dxa"/>
        <w:jc w:val="left"/>
        <w:tblInd w:w="0" w:type="dxa"/>
        <w:tblCellMar>
          <w:top w:w="0" w:type="dxa"/>
          <w:left w:w="108" w:type="dxa"/>
          <w:bottom w:w="0" w:type="dxa"/>
          <w:right w:w="108" w:type="dxa"/>
        </w:tblCellMar>
      </w:tblPr>
      <w:tblGrid>
        <w:gridCol w:w="380"/>
        <w:gridCol w:w="3415"/>
        <w:gridCol w:w="1710"/>
        <w:gridCol w:w="1664"/>
        <w:gridCol w:w="2181"/>
      </w:tblGrid>
      <w:tr>
        <w:trPr>
          <w:trHeight w:val="340" w:hRule="atLeast"/>
        </w:trPr>
        <w:tc>
          <w:tcPr>
            <w:tcW w:w="9350" w:type="dxa"/>
            <w:gridSpan w:val="5"/>
            <w:tcBorders>
              <w:top w:val="single" w:sz="4" w:space="0" w:color="000000"/>
              <w:left w:val="single" w:sz="4" w:space="0" w:color="000000"/>
              <w:bottom w:val="single" w:sz="4" w:space="0" w:color="000000"/>
              <w:right w:val="single" w:sz="4" w:space="0" w:color="000000"/>
            </w:tcBorders>
            <w:shd w:fill="D9D9D9" w:val="clear"/>
            <w:vAlign w:val="center"/>
          </w:tcPr>
          <w:p>
            <w:pPr>
              <w:pStyle w:val="Normal"/>
              <w:jc w:val="center"/>
              <w:rPr>
                <w:b/>
                <w:b/>
                <w:sz w:val="22"/>
                <w:szCs w:val="22"/>
              </w:rPr>
            </w:pPr>
            <w:r>
              <w:rPr>
                <w:b/>
                <w:sz w:val="22"/>
                <w:szCs w:val="22"/>
              </w:rPr>
              <w:t>SPORT</w:t>
            </w:r>
          </w:p>
        </w:tc>
      </w:tr>
      <w:tr>
        <w:trPr>
          <w:trHeight w:val="340" w:hRule="atLeast"/>
        </w:trPr>
        <w:tc>
          <w:tcPr>
            <w:tcW w:w="380" w:type="dxa"/>
            <w:tcBorders>
              <w:top w:val="single" w:sz="4" w:space="0" w:color="000000"/>
              <w:left w:val="single" w:sz="4" w:space="0" w:color="000000"/>
              <w:bottom w:val="single" w:sz="4" w:space="0" w:color="000000"/>
            </w:tcBorders>
            <w:shd w:fill="auto" w:val="clear"/>
            <w:vAlign w:val="center"/>
          </w:tcPr>
          <w:p>
            <w:pPr>
              <w:pStyle w:val="Normal"/>
              <w:jc w:val="center"/>
              <w:rPr>
                <w:b/>
                <w:b/>
                <w:sz w:val="22"/>
                <w:szCs w:val="22"/>
              </w:rPr>
            </w:pPr>
            <w:r>
              <w:rPr>
                <w:b/>
                <w:sz w:val="22"/>
                <w:szCs w:val="22"/>
              </w:rPr>
              <w:t>R.br.</w:t>
            </w:r>
          </w:p>
        </w:tc>
        <w:tc>
          <w:tcPr>
            <w:tcW w:w="3415" w:type="dxa"/>
            <w:tcBorders>
              <w:top w:val="single" w:sz="4" w:space="0" w:color="000000"/>
              <w:left w:val="single" w:sz="4" w:space="0" w:color="000000"/>
              <w:bottom w:val="single" w:sz="4" w:space="0" w:color="000000"/>
            </w:tcBorders>
            <w:shd w:fill="auto" w:val="clear"/>
            <w:vAlign w:val="center"/>
          </w:tcPr>
          <w:p>
            <w:pPr>
              <w:pStyle w:val="Normal"/>
              <w:jc w:val="center"/>
              <w:rPr>
                <w:b/>
                <w:b/>
                <w:sz w:val="22"/>
                <w:szCs w:val="22"/>
              </w:rPr>
            </w:pPr>
            <w:r>
              <w:rPr>
                <w:b/>
                <w:sz w:val="22"/>
                <w:szCs w:val="22"/>
              </w:rPr>
              <w:t>Opis stavke</w:t>
            </w:r>
          </w:p>
        </w:tc>
        <w:tc>
          <w:tcPr>
            <w:tcW w:w="1710" w:type="dxa"/>
            <w:tcBorders>
              <w:top w:val="single" w:sz="4" w:space="0" w:color="000000"/>
              <w:left w:val="single" w:sz="4" w:space="0" w:color="000000"/>
              <w:bottom w:val="single" w:sz="4" w:space="0" w:color="000000"/>
            </w:tcBorders>
            <w:shd w:fill="auto" w:val="clear"/>
            <w:vAlign w:val="center"/>
          </w:tcPr>
          <w:p>
            <w:pPr>
              <w:pStyle w:val="Normal"/>
              <w:jc w:val="center"/>
              <w:rPr>
                <w:b/>
                <w:b/>
                <w:sz w:val="22"/>
                <w:szCs w:val="22"/>
              </w:rPr>
            </w:pPr>
            <w:r>
              <w:rPr>
                <w:b/>
                <w:sz w:val="22"/>
                <w:szCs w:val="22"/>
              </w:rPr>
              <w:t>Planirano ukupno (EUR)</w:t>
            </w:r>
          </w:p>
        </w:tc>
        <w:tc>
          <w:tcPr>
            <w:tcW w:w="1664" w:type="dxa"/>
            <w:tcBorders>
              <w:top w:val="single" w:sz="4" w:space="0" w:color="000000"/>
              <w:left w:val="single" w:sz="4" w:space="0" w:color="000000"/>
              <w:bottom w:val="single" w:sz="4" w:space="0" w:color="000000"/>
            </w:tcBorders>
            <w:shd w:fill="auto" w:val="clear"/>
            <w:vAlign w:val="center"/>
          </w:tcPr>
          <w:p>
            <w:pPr>
              <w:pStyle w:val="Normal"/>
              <w:jc w:val="center"/>
              <w:rPr>
                <w:b/>
                <w:b/>
                <w:sz w:val="22"/>
                <w:szCs w:val="22"/>
              </w:rPr>
            </w:pPr>
            <w:r>
              <w:rPr>
                <w:b/>
                <w:sz w:val="22"/>
                <w:szCs w:val="22"/>
              </w:rPr>
              <w:t>I. izmjene i dopune</w:t>
            </w:r>
          </w:p>
        </w:tc>
        <w:tc>
          <w:tcPr>
            <w:tcW w:w="218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b/>
                <w:b/>
                <w:sz w:val="21"/>
                <w:szCs w:val="21"/>
              </w:rPr>
            </w:pPr>
            <w:r>
              <w:rPr>
                <w:b/>
                <w:sz w:val="21"/>
                <w:szCs w:val="21"/>
              </w:rPr>
              <w:t>Izvršenje 01.01.-30.06.2025.</w:t>
            </w:r>
          </w:p>
        </w:tc>
      </w:tr>
      <w:tr>
        <w:trPr>
          <w:trHeight w:val="340" w:hRule="atLeast"/>
        </w:trPr>
        <w:tc>
          <w:tcPr>
            <w:tcW w:w="380" w:type="dxa"/>
            <w:tcBorders>
              <w:top w:val="single" w:sz="4" w:space="0" w:color="000000"/>
              <w:left w:val="single" w:sz="4" w:space="0" w:color="000000"/>
              <w:bottom w:val="single" w:sz="4" w:space="0" w:color="000000"/>
            </w:tcBorders>
            <w:shd w:fill="auto" w:val="clear"/>
            <w:vAlign w:val="center"/>
          </w:tcPr>
          <w:p>
            <w:pPr>
              <w:pStyle w:val="Normal"/>
              <w:rPr>
                <w:sz w:val="22"/>
                <w:szCs w:val="22"/>
              </w:rPr>
            </w:pPr>
            <w:r>
              <w:rPr>
                <w:sz w:val="22"/>
                <w:szCs w:val="22"/>
              </w:rPr>
              <w:t>1.</w:t>
            </w:r>
          </w:p>
        </w:tc>
        <w:tc>
          <w:tcPr>
            <w:tcW w:w="3415" w:type="dxa"/>
            <w:tcBorders>
              <w:top w:val="single" w:sz="4" w:space="0" w:color="000000"/>
              <w:left w:val="single" w:sz="4" w:space="0" w:color="000000"/>
              <w:bottom w:val="single" w:sz="4" w:space="0" w:color="000000"/>
            </w:tcBorders>
            <w:shd w:fill="auto" w:val="clear"/>
            <w:vAlign w:val="center"/>
          </w:tcPr>
          <w:p>
            <w:pPr>
              <w:pStyle w:val="Normal"/>
              <w:rPr>
                <w:sz w:val="22"/>
                <w:szCs w:val="22"/>
              </w:rPr>
            </w:pPr>
            <w:r>
              <w:rPr>
                <w:sz w:val="22"/>
                <w:szCs w:val="22"/>
              </w:rPr>
              <w:t xml:space="preserve">Udruge - sport </w:t>
            </w:r>
          </w:p>
        </w:tc>
        <w:tc>
          <w:tcPr>
            <w:tcW w:w="1710" w:type="dxa"/>
            <w:tcBorders>
              <w:top w:val="single" w:sz="4" w:space="0" w:color="000000"/>
              <w:left w:val="single" w:sz="4" w:space="0" w:color="000000"/>
              <w:bottom w:val="single" w:sz="4" w:space="0" w:color="000000"/>
            </w:tcBorders>
            <w:shd w:fill="auto" w:val="clear"/>
            <w:vAlign w:val="center"/>
          </w:tcPr>
          <w:p>
            <w:pPr>
              <w:pStyle w:val="Normal"/>
              <w:snapToGrid w:val="false"/>
              <w:jc w:val="right"/>
              <w:rPr>
                <w:sz w:val="22"/>
                <w:szCs w:val="22"/>
              </w:rPr>
            </w:pPr>
            <w:r>
              <w:rPr>
                <w:sz w:val="22"/>
                <w:szCs w:val="22"/>
              </w:rPr>
              <w:t>48.000,00</w:t>
            </w:r>
          </w:p>
        </w:tc>
        <w:tc>
          <w:tcPr>
            <w:tcW w:w="1664" w:type="dxa"/>
            <w:tcBorders>
              <w:top w:val="single" w:sz="4" w:space="0" w:color="000000"/>
              <w:left w:val="single" w:sz="4" w:space="0" w:color="000000"/>
              <w:bottom w:val="single" w:sz="4" w:space="0" w:color="000000"/>
            </w:tcBorders>
            <w:shd w:fill="auto" w:val="clear"/>
            <w:vAlign w:val="center"/>
          </w:tcPr>
          <w:p>
            <w:pPr>
              <w:pStyle w:val="Normal"/>
              <w:snapToGrid w:val="false"/>
              <w:jc w:val="right"/>
              <w:rPr>
                <w:sz w:val="22"/>
                <w:szCs w:val="22"/>
              </w:rPr>
            </w:pPr>
            <w:r>
              <w:rPr>
                <w:sz w:val="22"/>
                <w:szCs w:val="22"/>
              </w:rPr>
              <w:t>48.000,00</w:t>
            </w:r>
          </w:p>
        </w:tc>
        <w:tc>
          <w:tcPr>
            <w:tcW w:w="218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right"/>
              <w:rPr>
                <w:sz w:val="22"/>
                <w:szCs w:val="22"/>
              </w:rPr>
            </w:pPr>
            <w:r>
              <w:rPr>
                <w:sz w:val="22"/>
                <w:szCs w:val="22"/>
              </w:rPr>
              <w:t>19.450,00</w:t>
            </w:r>
          </w:p>
        </w:tc>
      </w:tr>
      <w:tr>
        <w:trPr>
          <w:trHeight w:val="340" w:hRule="atLeast"/>
        </w:trPr>
        <w:tc>
          <w:tcPr>
            <w:tcW w:w="380" w:type="dxa"/>
            <w:tcBorders>
              <w:top w:val="single" w:sz="4" w:space="0" w:color="000000"/>
              <w:left w:val="single" w:sz="4" w:space="0" w:color="000000"/>
              <w:bottom w:val="single" w:sz="4" w:space="0" w:color="000000"/>
            </w:tcBorders>
            <w:shd w:fill="auto" w:val="clear"/>
            <w:vAlign w:val="center"/>
          </w:tcPr>
          <w:p>
            <w:pPr>
              <w:pStyle w:val="Normal"/>
              <w:rPr>
                <w:sz w:val="22"/>
                <w:szCs w:val="22"/>
              </w:rPr>
            </w:pPr>
            <w:r>
              <w:rPr>
                <w:sz w:val="22"/>
                <w:szCs w:val="22"/>
              </w:rPr>
              <w:t>2.</w:t>
            </w:r>
          </w:p>
        </w:tc>
        <w:tc>
          <w:tcPr>
            <w:tcW w:w="3415" w:type="dxa"/>
            <w:tcBorders>
              <w:top w:val="single" w:sz="4" w:space="0" w:color="000000"/>
              <w:left w:val="single" w:sz="4" w:space="0" w:color="000000"/>
              <w:bottom w:val="single" w:sz="4" w:space="0" w:color="000000"/>
            </w:tcBorders>
            <w:shd w:fill="auto" w:val="clear"/>
            <w:vAlign w:val="center"/>
          </w:tcPr>
          <w:p>
            <w:pPr>
              <w:pStyle w:val="Normal"/>
              <w:rPr>
                <w:sz w:val="22"/>
                <w:szCs w:val="22"/>
              </w:rPr>
            </w:pPr>
            <w:r>
              <w:rPr>
                <w:sz w:val="22"/>
                <w:szCs w:val="22"/>
              </w:rPr>
              <w:t xml:space="preserve">Nogometno igralište u Mihovljanu </w:t>
            </w:r>
          </w:p>
        </w:tc>
        <w:tc>
          <w:tcPr>
            <w:tcW w:w="1710" w:type="dxa"/>
            <w:tcBorders>
              <w:top w:val="single" w:sz="4" w:space="0" w:color="000000"/>
              <w:left w:val="single" w:sz="4" w:space="0" w:color="000000"/>
              <w:bottom w:val="single" w:sz="4" w:space="0" w:color="000000"/>
            </w:tcBorders>
            <w:shd w:fill="auto" w:val="clear"/>
            <w:vAlign w:val="center"/>
          </w:tcPr>
          <w:p>
            <w:pPr>
              <w:pStyle w:val="Normal"/>
              <w:snapToGrid w:val="false"/>
              <w:jc w:val="right"/>
              <w:rPr>
                <w:sz w:val="22"/>
                <w:szCs w:val="22"/>
              </w:rPr>
            </w:pPr>
            <w:r>
              <w:rPr>
                <w:sz w:val="22"/>
                <w:szCs w:val="22"/>
              </w:rPr>
              <w:t>150.000,00</w:t>
            </w:r>
          </w:p>
        </w:tc>
        <w:tc>
          <w:tcPr>
            <w:tcW w:w="1664" w:type="dxa"/>
            <w:tcBorders>
              <w:top w:val="single" w:sz="4" w:space="0" w:color="000000"/>
              <w:left w:val="single" w:sz="4" w:space="0" w:color="000000"/>
              <w:bottom w:val="single" w:sz="4" w:space="0" w:color="000000"/>
            </w:tcBorders>
            <w:shd w:fill="auto" w:val="clear"/>
            <w:vAlign w:val="center"/>
          </w:tcPr>
          <w:p>
            <w:pPr>
              <w:pStyle w:val="Normal"/>
              <w:snapToGrid w:val="false"/>
              <w:jc w:val="right"/>
              <w:rPr>
                <w:sz w:val="22"/>
                <w:szCs w:val="22"/>
              </w:rPr>
            </w:pPr>
            <w:r>
              <w:rPr>
                <w:sz w:val="22"/>
                <w:szCs w:val="22"/>
              </w:rPr>
              <w:t>150.000,00</w:t>
            </w:r>
          </w:p>
        </w:tc>
        <w:tc>
          <w:tcPr>
            <w:tcW w:w="218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right"/>
              <w:rPr>
                <w:sz w:val="22"/>
                <w:szCs w:val="22"/>
              </w:rPr>
            </w:pPr>
            <w:r>
              <w:rPr>
                <w:sz w:val="22"/>
                <w:szCs w:val="22"/>
              </w:rPr>
              <w:t>0,00</w:t>
            </w:r>
          </w:p>
        </w:tc>
      </w:tr>
      <w:tr>
        <w:trPr>
          <w:trHeight w:val="340" w:hRule="atLeast"/>
        </w:trPr>
        <w:tc>
          <w:tcPr>
            <w:tcW w:w="380" w:type="dxa"/>
            <w:tcBorders>
              <w:left w:val="single" w:sz="4" w:space="0" w:color="000000"/>
              <w:bottom w:val="single" w:sz="4" w:space="0" w:color="000000"/>
            </w:tcBorders>
            <w:shd w:fill="auto" w:val="clear"/>
            <w:vAlign w:val="center"/>
          </w:tcPr>
          <w:p>
            <w:pPr>
              <w:pStyle w:val="Normal"/>
              <w:rPr>
                <w:sz w:val="22"/>
                <w:szCs w:val="22"/>
              </w:rPr>
            </w:pPr>
            <w:r>
              <w:rPr>
                <w:sz w:val="22"/>
                <w:szCs w:val="22"/>
              </w:rPr>
              <w:t>3.</w:t>
            </w:r>
          </w:p>
        </w:tc>
        <w:tc>
          <w:tcPr>
            <w:tcW w:w="3415" w:type="dxa"/>
            <w:tcBorders>
              <w:left w:val="single" w:sz="4" w:space="0" w:color="000000"/>
              <w:bottom w:val="single" w:sz="4" w:space="0" w:color="000000"/>
            </w:tcBorders>
            <w:shd w:fill="auto" w:val="clear"/>
            <w:vAlign w:val="center"/>
          </w:tcPr>
          <w:p>
            <w:pPr>
              <w:pStyle w:val="Normal"/>
              <w:rPr>
                <w:sz w:val="22"/>
                <w:szCs w:val="22"/>
              </w:rPr>
            </w:pPr>
            <w:r>
              <w:rPr>
                <w:sz w:val="22"/>
                <w:szCs w:val="22"/>
              </w:rPr>
              <w:t>Pomoć mladima – nogometni kamp</w:t>
            </w:r>
          </w:p>
        </w:tc>
        <w:tc>
          <w:tcPr>
            <w:tcW w:w="1710" w:type="dxa"/>
            <w:tcBorders>
              <w:left w:val="single" w:sz="4" w:space="0" w:color="000000"/>
              <w:bottom w:val="single" w:sz="4" w:space="0" w:color="000000"/>
            </w:tcBorders>
            <w:shd w:fill="auto" w:val="clear"/>
            <w:vAlign w:val="center"/>
          </w:tcPr>
          <w:p>
            <w:pPr>
              <w:pStyle w:val="Normal"/>
              <w:snapToGrid w:val="false"/>
              <w:jc w:val="right"/>
              <w:rPr>
                <w:sz w:val="22"/>
                <w:szCs w:val="22"/>
              </w:rPr>
            </w:pPr>
            <w:r>
              <w:rPr>
                <w:sz w:val="22"/>
                <w:szCs w:val="22"/>
              </w:rPr>
              <w:t>500,00</w:t>
            </w:r>
          </w:p>
        </w:tc>
        <w:tc>
          <w:tcPr>
            <w:tcW w:w="1664" w:type="dxa"/>
            <w:tcBorders>
              <w:left w:val="single" w:sz="4" w:space="0" w:color="000000"/>
              <w:bottom w:val="single" w:sz="4" w:space="0" w:color="000000"/>
            </w:tcBorders>
            <w:shd w:fill="auto" w:val="clear"/>
            <w:vAlign w:val="center"/>
          </w:tcPr>
          <w:p>
            <w:pPr>
              <w:pStyle w:val="Normal"/>
              <w:snapToGrid w:val="false"/>
              <w:jc w:val="right"/>
              <w:rPr>
                <w:sz w:val="22"/>
                <w:szCs w:val="22"/>
              </w:rPr>
            </w:pPr>
            <w:r>
              <w:rPr>
                <w:sz w:val="22"/>
                <w:szCs w:val="22"/>
              </w:rPr>
              <w:t>500,00</w:t>
            </w:r>
          </w:p>
        </w:tc>
        <w:tc>
          <w:tcPr>
            <w:tcW w:w="2181" w:type="dxa"/>
            <w:tcBorders>
              <w:left w:val="single" w:sz="4" w:space="0" w:color="000000"/>
              <w:bottom w:val="single" w:sz="4" w:space="0" w:color="000000"/>
              <w:right w:val="single" w:sz="4" w:space="0" w:color="000000"/>
            </w:tcBorders>
            <w:shd w:fill="auto" w:val="clear"/>
            <w:vAlign w:val="center"/>
          </w:tcPr>
          <w:p>
            <w:pPr>
              <w:pStyle w:val="Normal"/>
              <w:snapToGrid w:val="false"/>
              <w:jc w:val="right"/>
              <w:rPr>
                <w:sz w:val="22"/>
                <w:szCs w:val="22"/>
              </w:rPr>
            </w:pPr>
            <w:r>
              <w:rPr>
                <w:sz w:val="22"/>
                <w:szCs w:val="22"/>
              </w:rPr>
              <w:t>0,00</w:t>
            </w:r>
          </w:p>
        </w:tc>
      </w:tr>
      <w:tr>
        <w:trPr>
          <w:trHeight w:val="340" w:hRule="atLeast"/>
        </w:trPr>
        <w:tc>
          <w:tcPr>
            <w:tcW w:w="380" w:type="dxa"/>
            <w:tcBorders>
              <w:top w:val="single" w:sz="4" w:space="0" w:color="000000"/>
              <w:left w:val="single" w:sz="4" w:space="0" w:color="000000"/>
              <w:bottom w:val="single" w:sz="4" w:space="0" w:color="000000"/>
            </w:tcBorders>
            <w:shd w:fill="auto" w:val="clear"/>
            <w:vAlign w:val="center"/>
          </w:tcPr>
          <w:p>
            <w:pPr>
              <w:pStyle w:val="Normal"/>
              <w:snapToGrid w:val="false"/>
              <w:rPr>
                <w:sz w:val="22"/>
                <w:szCs w:val="22"/>
              </w:rPr>
            </w:pPr>
            <w:r>
              <w:rPr>
                <w:sz w:val="22"/>
                <w:szCs w:val="22"/>
              </w:rPr>
            </w:r>
          </w:p>
        </w:tc>
        <w:tc>
          <w:tcPr>
            <w:tcW w:w="3415" w:type="dxa"/>
            <w:tcBorders>
              <w:top w:val="single" w:sz="4" w:space="0" w:color="000000"/>
              <w:left w:val="single" w:sz="4" w:space="0" w:color="000000"/>
              <w:bottom w:val="single" w:sz="4" w:space="0" w:color="000000"/>
            </w:tcBorders>
            <w:shd w:fill="auto" w:val="clear"/>
            <w:vAlign w:val="center"/>
          </w:tcPr>
          <w:p>
            <w:pPr>
              <w:pStyle w:val="Normal"/>
              <w:rPr>
                <w:b/>
                <w:b/>
                <w:bCs/>
                <w:sz w:val="22"/>
                <w:szCs w:val="22"/>
              </w:rPr>
            </w:pPr>
            <w:r>
              <w:rPr>
                <w:b/>
                <w:bCs/>
                <w:sz w:val="22"/>
                <w:szCs w:val="22"/>
              </w:rPr>
              <w:t>SVEUKUPNO</w:t>
            </w:r>
          </w:p>
        </w:tc>
        <w:tc>
          <w:tcPr>
            <w:tcW w:w="1710" w:type="dxa"/>
            <w:tcBorders>
              <w:top w:val="single" w:sz="4" w:space="0" w:color="000000"/>
              <w:left w:val="single" w:sz="4" w:space="0" w:color="000000"/>
              <w:bottom w:val="single" w:sz="4" w:space="0" w:color="000000"/>
            </w:tcBorders>
            <w:shd w:fill="auto" w:val="clear"/>
            <w:vAlign w:val="center"/>
          </w:tcPr>
          <w:p>
            <w:pPr>
              <w:pStyle w:val="Normal"/>
              <w:snapToGrid w:val="false"/>
              <w:jc w:val="right"/>
              <w:rPr>
                <w:b/>
                <w:b/>
                <w:bCs/>
                <w:sz w:val="22"/>
                <w:szCs w:val="22"/>
              </w:rPr>
            </w:pPr>
            <w:r>
              <w:rPr>
                <w:b/>
                <w:bCs/>
                <w:sz w:val="22"/>
                <w:szCs w:val="22"/>
              </w:rPr>
              <w:t>198.500,00</w:t>
            </w:r>
          </w:p>
        </w:tc>
        <w:tc>
          <w:tcPr>
            <w:tcW w:w="1664" w:type="dxa"/>
            <w:tcBorders>
              <w:top w:val="single" w:sz="4" w:space="0" w:color="000000"/>
              <w:left w:val="single" w:sz="4" w:space="0" w:color="000000"/>
              <w:bottom w:val="single" w:sz="4" w:space="0" w:color="000000"/>
            </w:tcBorders>
            <w:shd w:fill="auto" w:val="clear"/>
            <w:vAlign w:val="center"/>
          </w:tcPr>
          <w:p>
            <w:pPr>
              <w:pStyle w:val="Normal"/>
              <w:snapToGrid w:val="false"/>
              <w:jc w:val="right"/>
              <w:rPr>
                <w:b/>
                <w:b/>
                <w:bCs/>
                <w:sz w:val="22"/>
                <w:szCs w:val="22"/>
              </w:rPr>
            </w:pPr>
            <w:r>
              <w:rPr>
                <w:b/>
                <w:bCs/>
                <w:sz w:val="22"/>
                <w:szCs w:val="22"/>
              </w:rPr>
            </w:r>
          </w:p>
        </w:tc>
        <w:tc>
          <w:tcPr>
            <w:tcW w:w="218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right"/>
              <w:rPr>
                <w:b/>
                <w:b/>
                <w:bCs/>
                <w:sz w:val="22"/>
                <w:szCs w:val="22"/>
              </w:rPr>
            </w:pPr>
            <w:r>
              <w:rPr>
                <w:b/>
                <w:bCs/>
                <w:sz w:val="22"/>
                <w:szCs w:val="22"/>
              </w:rPr>
              <w:t>19.450,00</w:t>
            </w:r>
          </w:p>
        </w:tc>
      </w:tr>
    </w:tbl>
    <w:p>
      <w:pPr>
        <w:pStyle w:val="Normal"/>
        <w:spacing w:lineRule="auto" w:line="264"/>
        <w:jc w:val="center"/>
        <w:rPr>
          <w:b/>
          <w:b/>
          <w:sz w:val="22"/>
          <w:szCs w:val="22"/>
        </w:rPr>
      </w:pPr>
      <w:r>
        <w:rPr>
          <w:b/>
          <w:sz w:val="22"/>
          <w:szCs w:val="22"/>
        </w:rPr>
      </w:r>
    </w:p>
    <w:p>
      <w:pPr>
        <w:pStyle w:val="Normal"/>
        <w:spacing w:lineRule="auto" w:line="264"/>
        <w:jc w:val="center"/>
        <w:rPr>
          <w:b/>
          <w:b/>
          <w:sz w:val="22"/>
          <w:szCs w:val="22"/>
        </w:rPr>
      </w:pPr>
      <w:r>
        <w:rPr>
          <w:b/>
          <w:sz w:val="22"/>
          <w:szCs w:val="22"/>
        </w:rPr>
      </w:r>
    </w:p>
    <w:p>
      <w:pPr>
        <w:pStyle w:val="Normal"/>
        <w:spacing w:lineRule="auto" w:line="264"/>
        <w:jc w:val="center"/>
        <w:rPr>
          <w:b/>
          <w:b/>
          <w:sz w:val="22"/>
          <w:szCs w:val="22"/>
        </w:rPr>
      </w:pPr>
      <w:r>
        <w:rPr>
          <w:b/>
          <w:sz w:val="22"/>
          <w:szCs w:val="22"/>
        </w:rPr>
      </w:r>
    </w:p>
    <w:p>
      <w:pPr>
        <w:pStyle w:val="Normal"/>
        <w:spacing w:lineRule="auto" w:line="264"/>
        <w:jc w:val="center"/>
        <w:rPr>
          <w:b/>
          <w:b/>
          <w:sz w:val="22"/>
          <w:szCs w:val="22"/>
        </w:rPr>
      </w:pPr>
      <w:r>
        <w:rPr>
          <w:b/>
          <w:sz w:val="22"/>
          <w:szCs w:val="22"/>
        </w:rPr>
        <w:t>Članak 2.</w:t>
      </w:r>
    </w:p>
    <w:p>
      <w:pPr>
        <w:pStyle w:val="Normal"/>
        <w:jc w:val="both"/>
        <w:rPr/>
      </w:pPr>
      <w:r>
        <w:rPr>
          <w:b/>
          <w:sz w:val="22"/>
          <w:szCs w:val="22"/>
        </w:rPr>
        <w:tab/>
      </w:r>
      <w:r>
        <w:rPr>
          <w:sz w:val="22"/>
          <w:szCs w:val="22"/>
        </w:rPr>
        <w:t xml:space="preserve">Sredstva će se tijekom godine izdvajati iz proračuna Općine Mihovljan prema  raspisanim natječajima i dodijeljenim sredstvima  te </w:t>
      </w:r>
      <w:r>
        <w:rPr>
          <w:bCs/>
          <w:sz w:val="22"/>
          <w:szCs w:val="22"/>
        </w:rPr>
        <w:t>pismeno podnesenom i obrazloženom  Zahtjevu od strane korisnika</w:t>
      </w:r>
      <w:r>
        <w:rPr>
          <w:sz w:val="22"/>
          <w:szCs w:val="22"/>
        </w:rPr>
        <w:t xml:space="preserve"> (odnosno Udruge) i pisanom odobrenju izvršitelja Proračuna, a ovisno o dinamici  punjena Proračuna. Ukoliko se proračunski prihodi neće ostvarivati u planiranom iznosu, izdaci prema ovom Programu realizirati će se u skladu sa stvarnim mogućnostima i prioritetima glede financiranja.</w:t>
      </w:r>
    </w:p>
    <w:p>
      <w:pPr>
        <w:pStyle w:val="Normal"/>
        <w:spacing w:lineRule="auto" w:line="264"/>
        <w:jc w:val="center"/>
        <w:rPr>
          <w:b/>
          <w:b/>
          <w:sz w:val="22"/>
          <w:szCs w:val="22"/>
        </w:rPr>
      </w:pPr>
      <w:r>
        <w:rPr>
          <w:b/>
          <w:sz w:val="22"/>
          <w:szCs w:val="22"/>
        </w:rPr>
      </w:r>
    </w:p>
    <w:p>
      <w:pPr>
        <w:pStyle w:val="Normal"/>
        <w:spacing w:lineRule="auto" w:line="264"/>
        <w:jc w:val="center"/>
        <w:rPr>
          <w:b/>
          <w:b/>
          <w:sz w:val="22"/>
          <w:szCs w:val="22"/>
        </w:rPr>
      </w:pPr>
      <w:r>
        <w:rPr>
          <w:b/>
          <w:sz w:val="22"/>
          <w:szCs w:val="22"/>
        </w:rPr>
        <w:t>Članak 3.</w:t>
      </w:r>
    </w:p>
    <w:p>
      <w:pPr>
        <w:pStyle w:val="Normal"/>
        <w:ind w:left="0" w:right="0" w:firstLine="708"/>
        <w:jc w:val="both"/>
        <w:rPr>
          <w:sz w:val="22"/>
          <w:szCs w:val="22"/>
        </w:rPr>
      </w:pPr>
      <w:r>
        <w:rPr>
          <w:sz w:val="22"/>
          <w:szCs w:val="22"/>
        </w:rPr>
        <w:t>Općinski načelnik može svojim zaključkom odobriti potporu udruzi koja nema sjedište na području Općine Mihovljan ukoliko ocijeni da je rad iste od interesa za Općinu Mihovljan ili iz razloga poslovne suradnje Općine i/ili drugog pravnog subjekta koji je u vlasništvu ili većinskom vlasništvu Općine Mihovljan najviše do 700,00 EUR.</w:t>
      </w:r>
    </w:p>
    <w:p>
      <w:pPr>
        <w:pStyle w:val="Normal"/>
        <w:ind w:left="0" w:right="0" w:firstLine="708"/>
        <w:jc w:val="both"/>
        <w:rPr>
          <w:b/>
          <w:b/>
          <w:sz w:val="22"/>
          <w:szCs w:val="22"/>
        </w:rPr>
      </w:pPr>
      <w:r>
        <w:rPr>
          <w:b/>
          <w:sz w:val="22"/>
          <w:szCs w:val="22"/>
        </w:rPr>
      </w:r>
    </w:p>
    <w:p>
      <w:pPr>
        <w:pStyle w:val="Normal"/>
        <w:tabs>
          <w:tab w:val="clear" w:pos="408"/>
          <w:tab w:val="left" w:pos="3735" w:leader="none"/>
          <w:tab w:val="center" w:pos="4955" w:leader="none"/>
        </w:tabs>
        <w:jc w:val="center"/>
        <w:rPr>
          <w:b/>
          <w:b/>
          <w:sz w:val="22"/>
          <w:szCs w:val="22"/>
        </w:rPr>
      </w:pPr>
      <w:r>
        <w:rPr>
          <w:b/>
          <w:sz w:val="22"/>
          <w:szCs w:val="22"/>
        </w:rPr>
        <w:t>Članak 4.</w:t>
      </w:r>
    </w:p>
    <w:p>
      <w:pPr>
        <w:pStyle w:val="Normal"/>
        <w:ind w:left="0" w:right="0" w:firstLine="708"/>
        <w:jc w:val="both"/>
        <w:rPr>
          <w:sz w:val="22"/>
          <w:szCs w:val="22"/>
        </w:rPr>
      </w:pPr>
      <w:r>
        <w:rPr>
          <w:sz w:val="22"/>
          <w:szCs w:val="22"/>
        </w:rPr>
        <w:t xml:space="preserve">O utrošku financijskih sredstava iz Ovog Programa korisnici su obvezni podnijeti izvješće odmah po utrošku sredstava u svrhu/namjenu za koju su dodijeljena, odnosno najkasnije do datuma propisanog Javnim pozivom za dodjelu sredstava. </w:t>
      </w:r>
    </w:p>
    <w:p>
      <w:pPr>
        <w:pStyle w:val="Normal"/>
        <w:tabs>
          <w:tab w:val="clear" w:pos="408"/>
          <w:tab w:val="center" w:pos="4955" w:leader="none"/>
        </w:tabs>
        <w:rPr>
          <w:b/>
          <w:b/>
          <w:sz w:val="22"/>
          <w:szCs w:val="22"/>
        </w:rPr>
      </w:pPr>
      <w:r>
        <w:rPr>
          <w:b/>
          <w:sz w:val="22"/>
          <w:szCs w:val="22"/>
        </w:rPr>
      </w:r>
    </w:p>
    <w:p>
      <w:pPr>
        <w:pStyle w:val="Normal"/>
        <w:jc w:val="center"/>
        <w:rPr>
          <w:b/>
          <w:b/>
          <w:sz w:val="22"/>
          <w:szCs w:val="22"/>
        </w:rPr>
      </w:pPr>
      <w:r>
        <w:rPr>
          <w:b/>
          <w:sz w:val="22"/>
          <w:szCs w:val="22"/>
        </w:rPr>
        <w:t>Članak 5.</w:t>
      </w:r>
    </w:p>
    <w:p>
      <w:pPr>
        <w:pStyle w:val="Normal"/>
        <w:ind w:left="0" w:right="0" w:firstLine="567"/>
        <w:jc w:val="both"/>
        <w:rPr>
          <w:sz w:val="22"/>
          <w:szCs w:val="22"/>
        </w:rPr>
      </w:pPr>
      <w:r>
        <w:rPr>
          <w:sz w:val="22"/>
          <w:szCs w:val="22"/>
        </w:rPr>
        <w:t xml:space="preserve">Ovo  Polugodišnje izvješće o utrošku sredstava po Programu javnih potreba u kulturi i sportu u 2025. godini objaviti će se u Službenom glasniku Krapinsko – zagorske županije.  </w:t>
      </w:r>
    </w:p>
    <w:p>
      <w:pPr>
        <w:pStyle w:val="Normal"/>
        <w:ind w:left="5664" w:right="0" w:hanging="0"/>
        <w:rPr/>
      </w:pPr>
      <w:r>
        <w:rPr/>
      </w:r>
    </w:p>
    <w:p>
      <w:pPr>
        <w:pStyle w:val="Normal"/>
        <w:ind w:left="5664" w:right="0" w:hanging="0"/>
        <w:rPr>
          <w:sz w:val="22"/>
          <w:szCs w:val="22"/>
        </w:rPr>
      </w:pPr>
      <w:r>
        <w:rPr>
          <w:sz w:val="22"/>
          <w:szCs w:val="22"/>
        </w:rPr>
        <w:t xml:space="preserve">                                                                                                                                                                                                 </w:t>
      </w:r>
    </w:p>
    <w:p>
      <w:pPr>
        <w:pStyle w:val="Normal"/>
        <w:ind w:left="5664" w:right="0" w:hanging="0"/>
        <w:rPr>
          <w:sz w:val="22"/>
          <w:szCs w:val="22"/>
        </w:rPr>
      </w:pPr>
      <w:r>
        <w:rPr>
          <w:sz w:val="22"/>
          <w:szCs w:val="22"/>
        </w:rPr>
        <w:t>Predsjednik Općinskog vijeća</w:t>
      </w:r>
    </w:p>
    <w:p>
      <w:pPr>
        <w:pStyle w:val="Normal"/>
        <w:rPr>
          <w:sz w:val="22"/>
          <w:szCs w:val="22"/>
        </w:rPr>
      </w:pPr>
      <w:r>
        <w:rPr>
          <w:sz w:val="22"/>
          <w:szCs w:val="22"/>
        </w:rPr>
        <w:tab/>
        <w:tab/>
        <w:tab/>
        <w:tab/>
        <w:tab/>
        <w:tab/>
        <w:tab/>
        <w:t xml:space="preserve">         </w:t>
        <w:tab/>
        <w:tab/>
        <w:tab/>
        <w:tab/>
        <w:tab/>
        <w:t xml:space="preserve">  mr. Silvestar Vučković dr.vet.med</w:t>
      </w:r>
    </w:p>
    <w:p>
      <w:pPr>
        <w:pStyle w:val="Normal"/>
        <w:jc w:val="center"/>
        <w:rPr>
          <w:sz w:val="22"/>
          <w:szCs w:val="22"/>
        </w:rPr>
      </w:pPr>
      <w:r>
        <w:rPr>
          <w:sz w:val="22"/>
          <w:szCs w:val="22"/>
        </w:rPr>
        <w:t xml:space="preserve">                                                                                            </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0"/>
          <w:szCs w:val="20"/>
        </w:rPr>
      </w:pPr>
      <w:r>
        <w:rPr>
          <w:sz w:val="20"/>
          <w:szCs w:val="20"/>
        </w:rPr>
      </w:r>
    </w:p>
    <w:p>
      <w:pPr>
        <w:pStyle w:val="Normal"/>
        <w:jc w:val="both"/>
        <w:rPr>
          <w:sz w:val="20"/>
          <w:szCs w:val="20"/>
        </w:rPr>
      </w:pPr>
      <w:r>
        <w:rPr>
          <w:sz w:val="20"/>
          <w:szCs w:val="20"/>
        </w:rPr>
        <w:t>DOSTAVITI:</w:t>
      </w:r>
    </w:p>
    <w:p>
      <w:pPr>
        <w:pStyle w:val="Normal"/>
        <w:numPr>
          <w:ilvl w:val="0"/>
          <w:numId w:val="2"/>
        </w:numPr>
        <w:jc w:val="both"/>
        <w:rPr>
          <w:sz w:val="20"/>
          <w:szCs w:val="20"/>
        </w:rPr>
      </w:pPr>
      <w:r>
        <w:rPr>
          <w:sz w:val="20"/>
          <w:szCs w:val="20"/>
        </w:rPr>
        <w:t>Ministarstvo kulture i medija RH, Runjaninova ul. 2,  10000 Zagreb - na nadzor</w:t>
      </w:r>
    </w:p>
    <w:p>
      <w:pPr>
        <w:pStyle w:val="Normal"/>
        <w:numPr>
          <w:ilvl w:val="0"/>
          <w:numId w:val="2"/>
        </w:numPr>
        <w:jc w:val="both"/>
        <w:rPr>
          <w:sz w:val="20"/>
          <w:szCs w:val="20"/>
        </w:rPr>
      </w:pPr>
      <w:r>
        <w:rPr>
          <w:sz w:val="20"/>
          <w:szCs w:val="20"/>
        </w:rPr>
        <w:t>Ministarstvo turizma i sporta, Prisavlje 14, 10000 Zagreb – na nadzor</w:t>
      </w:r>
    </w:p>
    <w:p>
      <w:pPr>
        <w:pStyle w:val="Normal"/>
        <w:numPr>
          <w:ilvl w:val="0"/>
          <w:numId w:val="2"/>
        </w:numPr>
        <w:jc w:val="both"/>
        <w:rPr/>
      </w:pPr>
      <w:r>
        <w:rPr>
          <w:sz w:val="20"/>
          <w:szCs w:val="20"/>
        </w:rPr>
        <w:t xml:space="preserve">Ministarstvo financija, Katančićeva 5, 10000 Zagreb, </w:t>
      </w:r>
      <w:hyperlink r:id="rId3">
        <w:r>
          <w:rPr>
            <w:rStyle w:val="Internetskapoveznica"/>
            <w:color w:val="000000"/>
            <w:sz w:val="20"/>
            <w:szCs w:val="20"/>
          </w:rPr>
          <w:t>lokalni.proracuni@mfin.hr</w:t>
        </w:r>
      </w:hyperlink>
      <w:r>
        <w:rPr>
          <w:sz w:val="20"/>
          <w:szCs w:val="20"/>
        </w:rPr>
        <w:t xml:space="preserve"> (obavijest o objavi – link Službenog glasnika i web stranice Općine Mihovljan)</w:t>
      </w:r>
    </w:p>
    <w:p>
      <w:pPr>
        <w:pStyle w:val="Normal"/>
        <w:numPr>
          <w:ilvl w:val="0"/>
          <w:numId w:val="2"/>
        </w:numPr>
        <w:jc w:val="both"/>
        <w:rPr/>
      </w:pPr>
      <w:r>
        <w:rPr>
          <w:sz w:val="20"/>
          <w:szCs w:val="20"/>
        </w:rPr>
        <w:t xml:space="preserve">Državni ured za reviziju, Područni ured Krapina, Gajeva 2/II, 49000 Krapina, </w:t>
      </w:r>
      <w:hyperlink r:id="rId4">
        <w:r>
          <w:rPr>
            <w:rStyle w:val="Internetskapoveznica"/>
            <w:color w:val="000000"/>
            <w:sz w:val="20"/>
            <w:szCs w:val="20"/>
          </w:rPr>
          <w:t>dur.krapina@revizija.hr</w:t>
        </w:r>
      </w:hyperlink>
      <w:r>
        <w:rPr>
          <w:sz w:val="20"/>
          <w:szCs w:val="20"/>
        </w:rPr>
        <w:t xml:space="preserve"> (obavijest o objavi – link Službenog glasnika i web stranice Općine Mihovljan)</w:t>
      </w:r>
    </w:p>
    <w:p>
      <w:pPr>
        <w:pStyle w:val="Normal"/>
        <w:numPr>
          <w:ilvl w:val="0"/>
          <w:numId w:val="2"/>
        </w:numPr>
        <w:jc w:val="both"/>
        <w:rPr>
          <w:sz w:val="20"/>
          <w:szCs w:val="20"/>
        </w:rPr>
      </w:pPr>
      <w:r>
        <w:rPr>
          <w:sz w:val="20"/>
          <w:szCs w:val="20"/>
        </w:rPr>
        <w:t>Krapinsko-zagorska županija, Upravni odjel za poslove Županijske skupštine, n/r Svjetlane Goričan, Magistratska 1, 49000 Krapina (za objavu),</w:t>
      </w:r>
    </w:p>
    <w:p>
      <w:pPr>
        <w:pStyle w:val="Normal"/>
        <w:numPr>
          <w:ilvl w:val="0"/>
          <w:numId w:val="2"/>
        </w:numPr>
        <w:jc w:val="both"/>
        <w:rPr>
          <w:sz w:val="20"/>
          <w:szCs w:val="20"/>
        </w:rPr>
      </w:pPr>
      <w:r>
        <w:rPr>
          <w:sz w:val="20"/>
          <w:szCs w:val="20"/>
        </w:rPr>
        <w:t>Krapinsko-zagorska županija, Upravni odjel za financije i proračun, Magistratska 1, 49000 Krapina, (obavijest o objavi – link Službenog glasnika i web stranice Općine Mihovljan)</w:t>
      </w:r>
    </w:p>
    <w:p>
      <w:pPr>
        <w:pStyle w:val="Normal"/>
        <w:numPr>
          <w:ilvl w:val="0"/>
          <w:numId w:val="2"/>
        </w:numPr>
        <w:jc w:val="both"/>
        <w:rPr>
          <w:sz w:val="20"/>
          <w:szCs w:val="20"/>
        </w:rPr>
      </w:pPr>
      <w:r>
        <w:rPr>
          <w:sz w:val="20"/>
          <w:szCs w:val="20"/>
        </w:rPr>
        <w:t>Oglasna ploča i WEB stranica Općine Mihovljan,</w:t>
      </w:r>
    </w:p>
    <w:p>
      <w:pPr>
        <w:pStyle w:val="Normal"/>
        <w:numPr>
          <w:ilvl w:val="0"/>
          <w:numId w:val="2"/>
        </w:numPr>
        <w:jc w:val="both"/>
        <w:rPr>
          <w:sz w:val="20"/>
          <w:szCs w:val="20"/>
        </w:rPr>
      </w:pPr>
      <w:r>
        <w:rPr>
          <w:sz w:val="20"/>
          <w:szCs w:val="20"/>
        </w:rPr>
        <w:t>Općinskom načelniku Općine Mihovljan,</w:t>
      </w:r>
    </w:p>
    <w:p>
      <w:pPr>
        <w:pStyle w:val="Normal"/>
        <w:numPr>
          <w:ilvl w:val="0"/>
          <w:numId w:val="2"/>
        </w:numPr>
        <w:jc w:val="both"/>
        <w:rPr>
          <w:sz w:val="20"/>
          <w:szCs w:val="20"/>
        </w:rPr>
      </w:pPr>
      <w:r>
        <w:rPr>
          <w:sz w:val="20"/>
          <w:szCs w:val="20"/>
        </w:rPr>
        <w:t>Jedinstveni upravni odjel, ovdje,</w:t>
      </w:r>
    </w:p>
    <w:p>
      <w:pPr>
        <w:pStyle w:val="Normal"/>
        <w:numPr>
          <w:ilvl w:val="0"/>
          <w:numId w:val="2"/>
        </w:numPr>
        <w:jc w:val="both"/>
        <w:rPr>
          <w:sz w:val="20"/>
          <w:szCs w:val="20"/>
        </w:rPr>
      </w:pPr>
      <w:r>
        <w:rPr>
          <w:sz w:val="20"/>
          <w:szCs w:val="20"/>
        </w:rPr>
        <w:t>Prilog zapisniku,</w:t>
      </w:r>
    </w:p>
    <w:p>
      <w:pPr>
        <w:pStyle w:val="Normal"/>
        <w:numPr>
          <w:ilvl w:val="0"/>
          <w:numId w:val="2"/>
        </w:numPr>
        <w:jc w:val="both"/>
        <w:rPr>
          <w:sz w:val="20"/>
          <w:szCs w:val="20"/>
        </w:rPr>
      </w:pPr>
      <w:r>
        <w:rPr>
          <w:sz w:val="20"/>
          <w:szCs w:val="20"/>
        </w:rPr>
        <w:t>Pismohrana</w:t>
      </w:r>
    </w:p>
    <w:p>
      <w:pPr>
        <w:pStyle w:val="Normal"/>
        <w:jc w:val="both"/>
        <w:rPr>
          <w:sz w:val="22"/>
          <w:szCs w:val="22"/>
        </w:rPr>
      </w:pPr>
      <w:r>
        <w:rPr>
          <w:sz w:val="22"/>
          <w:szCs w:val="22"/>
        </w:rPr>
      </w:r>
    </w:p>
    <w:sectPr>
      <w:type w:val="nextPage"/>
      <w:pgSz w:w="11906" w:h="16838"/>
      <w:pgMar w:left="1417" w:right="1286" w:header="0" w:top="142" w:footer="0" w:bottom="18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Garamond">
    <w:charset w:val="ee"/>
    <w:family w:val="roman"/>
    <w:pitch w:val="variable"/>
  </w:font>
  <w:font w:name="Arial Narrow">
    <w:charset w:val="ee"/>
    <w:family w:val="swiss"/>
    <w:pitch w:val="variable"/>
  </w:font>
  <w:font w:name="Wingdings">
    <w:charset w:val="02"/>
    <w:family w:val="auto"/>
    <w:pitch w:val="variable"/>
  </w:font>
  <w:font w:name="Courier New">
    <w:charset w:val="ee"/>
    <w:family w:val="modern"/>
    <w:pitch w:val="default"/>
  </w:font>
  <w:font w:name="Liberation Sans">
    <w:altName w:val="Arial"/>
    <w:charset w:val="ee"/>
    <w:family w:val="roman"/>
    <w:pitch w:val="variable"/>
  </w:font>
  <w:font w:name="Arial">
    <w:charset w:val="ee"/>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Stilnaslova2"/>
      <w:numFmt w:val="none"/>
      <w:suff w:val="nothing"/>
      <w:lvlText w:val=""/>
      <w:lvlJc w:val="left"/>
      <w:pPr>
        <w:ind w:left="0" w:hanging="0"/>
      </w:pPr>
      <w:r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sz w:val="22"/>
        <w:szCs w:val="22"/>
        <w:rFonts w:ascii="Times New Roman" w:hAnsi="Times New Roman" w:cs="Times New Roman"/>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num w:numId="1">
    <w:abstractNumId w:val="1"/>
  </w:num>
  <w:num w:numId="2">
    <w:abstractNumId w:val="2"/>
  </w:num>
</w:numbering>
</file>

<file path=word/settings.xml><?xml version="1.0" encoding="utf-8"?>
<w:settings xmlns:w="http://schemas.openxmlformats.org/wordprocessingml/2006/main">
  <w:zoom w:percent="120"/>
  <w:displayBackgroundShape/>
  <w:defaultTabStop w:val="408"/>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Cs w:val="24"/>
        <w:lang w:val="hr-HR" w:eastAsia="zh-CN" w:bidi="hi-IN"/>
      </w:rPr>
    </w:rPrDefault>
    <w:pPrDefault>
      <w:pPr/>
    </w:pPrDefault>
  </w:docDefaults>
  <w:style w:type="paragraph" w:styleId="Normal">
    <w:name w:val="Normal"/>
    <w:qFormat/>
    <w:pPr>
      <w:widowControl/>
      <w:suppressAutoHyphens w:val="true"/>
      <w:bidi w:val="0"/>
    </w:pPr>
    <w:rPr>
      <w:rFonts w:ascii="Times New Roman" w:hAnsi="Times New Roman" w:eastAsia="Times New Roman" w:cs="Times New Roman"/>
      <w:color w:val="auto"/>
      <w:sz w:val="24"/>
      <w:szCs w:val="24"/>
      <w:lang w:val="hr-HR" w:eastAsia="zh-CN" w:bidi="ar-SA"/>
    </w:rPr>
  </w:style>
  <w:style w:type="paragraph" w:styleId="Stilnaslova2">
    <w:name w:val="Heading 2"/>
    <w:basedOn w:val="Normal"/>
    <w:next w:val="Normal"/>
    <w:qFormat/>
    <w:pPr>
      <w:keepNext w:val="true"/>
      <w:numPr>
        <w:ilvl w:val="1"/>
        <w:numId w:val="1"/>
      </w:numPr>
      <w:jc w:val="center"/>
      <w:outlineLvl w:val="1"/>
    </w:pPr>
    <w:rPr>
      <w:rFonts w:ascii="Garamond" w:hAnsi="Garamond" w:cs="Garamond"/>
      <w:sz w:val="44"/>
      <w:szCs w:val="4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cs="Times New Roman"/>
      <w:sz w:val="22"/>
      <w:szCs w:val="22"/>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b/>
      <w:bCs/>
      <w:sz w:val="22"/>
      <w:szCs w:val="22"/>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Zadanifontodlomka">
    <w:name w:val="Zadani font odlomka"/>
    <w:qFormat/>
    <w:rPr/>
  </w:style>
  <w:style w:type="character" w:styleId="Zadanifontodlomka3">
    <w:name w:val="Zadani font odlomka3"/>
    <w:qFormat/>
    <w:rPr/>
  </w:style>
  <w:style w:type="character" w:styleId="Zadanifontodlomka2">
    <w:name w:val="Zadani font odlomka2"/>
    <w:qFormat/>
    <w:rPr/>
  </w:style>
  <w:style w:type="character" w:styleId="WW8Num4z0">
    <w:name w:val="WW8Num4z0"/>
    <w:qFormat/>
    <w:rPr>
      <w:rFonts w:ascii="Arial Narrow" w:hAnsi="Arial Narrow" w:cs="Arial Narrow"/>
      <w:sz w:val="22"/>
      <w:szCs w:val="22"/>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z w:val="20"/>
      <w:szCs w:val="20"/>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ascii="Arial Narrow" w:hAnsi="Arial Narrow" w:cs="Arial Narrow"/>
      <w:sz w:val="22"/>
      <w:szCs w:val="22"/>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rFonts w:ascii="Wingdings" w:hAnsi="Wingdings" w:cs="Wingdings"/>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Zadanifontodlomka1">
    <w:name w:val="Zadani font odlomka1"/>
    <w:qFormat/>
    <w:rPr/>
  </w:style>
  <w:style w:type="character" w:styleId="AbsatzStandardschriftart">
    <w:name w:val="Absatz-Standardschriftart"/>
    <w:qFormat/>
    <w:rPr/>
  </w:style>
  <w:style w:type="character" w:styleId="Internetskapoveznica">
    <w:name w:val="Internetska poveznica"/>
    <w:rPr>
      <w:color w:val="0000FF"/>
      <w:u w:val="single"/>
    </w:rPr>
  </w:style>
  <w:style w:type="paragraph" w:styleId="Stilnaslova">
    <w:name w:val="Stil naslova"/>
    <w:basedOn w:val="Normal"/>
    <w:next w:val="Tijeloteksta"/>
    <w:qFormat/>
    <w:pPr>
      <w:keepNext w:val="true"/>
      <w:spacing w:before="240" w:after="120"/>
    </w:pPr>
    <w:rPr>
      <w:rFonts w:ascii="Liberation Sans;Arial" w:hAnsi="Liberation Sans;Arial" w:eastAsia="Microsoft YaHei" w:cs="Arial"/>
      <w:sz w:val="28"/>
      <w:szCs w:val="28"/>
    </w:rPr>
  </w:style>
  <w:style w:type="paragraph" w:styleId="Tijeloteksta">
    <w:name w:val="Body Text"/>
    <w:basedOn w:val="Normal"/>
    <w:pPr>
      <w:jc w:val="both"/>
    </w:pPr>
    <w:rPr>
      <w:rFonts w:ascii="Garamond" w:hAnsi="Garamond" w:cs="Garamond"/>
    </w:rPr>
  </w:style>
  <w:style w:type="paragraph" w:styleId="Popis">
    <w:name w:val="List"/>
    <w:basedOn w:val="Tijeloteksta"/>
    <w:pPr/>
    <w:rPr>
      <w:rFonts w:cs="Arial"/>
    </w:rPr>
  </w:style>
  <w:style w:type="paragraph" w:styleId="Opiselementa">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Opisslike">
    <w:name w:val="Opis slike"/>
    <w:basedOn w:val="Normal"/>
    <w:qFormat/>
    <w:pPr>
      <w:suppressLineNumbers/>
      <w:spacing w:before="120" w:after="120"/>
    </w:pPr>
    <w:rPr>
      <w:rFonts w:cs="Arial"/>
      <w:i/>
      <w:iCs/>
      <w:sz w:val="24"/>
      <w:szCs w:val="24"/>
    </w:rPr>
  </w:style>
  <w:style w:type="paragraph" w:styleId="Opisslike2">
    <w:name w:val="Opis slike2"/>
    <w:basedOn w:val="Normal"/>
    <w:qFormat/>
    <w:pPr>
      <w:suppressLineNumbers/>
      <w:spacing w:before="120" w:after="120"/>
    </w:pPr>
    <w:rPr>
      <w:rFonts w:cs="Arial"/>
      <w:i/>
      <w:iCs/>
      <w:sz w:val="24"/>
      <w:szCs w:val="24"/>
    </w:rPr>
  </w:style>
  <w:style w:type="paragraph" w:styleId="Opisslike1">
    <w:name w:val="Opis slike1"/>
    <w:basedOn w:val="Normal"/>
    <w:qFormat/>
    <w:pPr>
      <w:suppressLineNumbers/>
      <w:spacing w:before="120" w:after="120"/>
    </w:pPr>
    <w:rPr>
      <w:rFonts w:cs="Arial"/>
      <w:i/>
      <w:iCs/>
      <w:sz w:val="24"/>
      <w:szCs w:val="24"/>
    </w:rPr>
  </w:style>
  <w:style w:type="paragraph" w:styleId="Uvlakatijelateksta">
    <w:name w:val="Body Text Indent"/>
    <w:basedOn w:val="Normal"/>
    <w:pPr>
      <w:ind w:left="0" w:right="0" w:firstLine="708"/>
      <w:jc w:val="both"/>
    </w:pPr>
    <w:rPr>
      <w:rFonts w:ascii="Arial" w:hAnsi="Arial" w:cs="Arial"/>
      <w:sz w:val="22"/>
      <w:szCs w:val="22"/>
    </w:rPr>
  </w:style>
  <w:style w:type="paragraph" w:styleId="Tijelotekstauvlaka21">
    <w:name w:val="Tijelo teksta - uvlaka 21"/>
    <w:basedOn w:val="Normal"/>
    <w:qFormat/>
    <w:pPr>
      <w:ind w:left="0" w:right="0" w:firstLine="360"/>
      <w:jc w:val="both"/>
    </w:pPr>
    <w:rPr>
      <w:rFonts w:ascii="Arial" w:hAnsi="Arial" w:cs="Arial"/>
      <w:sz w:val="22"/>
      <w:szCs w:val="20"/>
    </w:rPr>
  </w:style>
  <w:style w:type="paragraph" w:styleId="Sadrajitablice">
    <w:name w:val="Sadržaji tablice"/>
    <w:basedOn w:val="Normal"/>
    <w:qFormat/>
    <w:pPr>
      <w:suppressLineNumbers/>
    </w:pPr>
    <w:rPr/>
  </w:style>
  <w:style w:type="paragraph" w:styleId="Naslovtablice">
    <w:name w:val="Naslov tablice"/>
    <w:basedOn w:val="Sadrajitablice"/>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lokalni.proracuni@mfin.hr" TargetMode="External"/><Relationship Id="rId4" Type="http://schemas.openxmlformats.org/officeDocument/2006/relationships/hyperlink" Target="mailto:dur.krapina@revizija.hr"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40</TotalTime>
  <Application>LibreOffice/6.2.4.2$Windows_X86_64 LibreOffice_project/2412653d852ce75f65fbfa83fb7e7b669a126d64</Application>
  <Pages>4</Pages>
  <Words>589</Words>
  <Characters>3717</Characters>
  <CharactersWithSpaces>4535</CharactersWithSpaces>
  <Paragraphs>113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2025-05-06T13:05:00Z</dcterms:created>
  <dc:creator>ZDENKO</dc:creator>
  <dc:description/>
  <dc:language>hr-HR</dc:language>
  <cp:lastModifiedBy/>
  <cp:lastPrinted>1995-11-21T17:41:00Z</cp:lastPrinted>
  <dcterms:modified xsi:type="dcterms:W3CDTF">2025-10-03T08:18:32Z</dcterms:modified>
  <cp:revision>5</cp:revision>
  <dc:subject/>
  <dc:title>             </dc:title>
</cp:coreProperties>
</file>