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jeloteksta"/>
        <w:jc w:val="right"/>
        <w:rPr>
          <w:rFonts w:ascii="Times New Roman" w:hAnsi="Times New Roman"/>
          <w:sz w:val="22"/>
          <w:szCs w:val="22"/>
        </w:rPr>
      </w:pPr>
      <w:r>
        <w:rPr>
          <w:rFonts w:ascii="Times New Roman" w:hAnsi="Times New Roman"/>
          <w:sz w:val="22"/>
          <w:szCs w:val="22"/>
        </w:rPr>
      </w:r>
    </w:p>
    <w:tbl>
      <w:tblPr>
        <w:tblW w:w="15246" w:type="dxa"/>
        <w:jc w:val="left"/>
        <w:tblInd w:w="-432" w:type="dxa"/>
        <w:tblCellMar>
          <w:top w:w="0" w:type="dxa"/>
          <w:left w:w="108" w:type="dxa"/>
          <w:bottom w:w="0" w:type="dxa"/>
          <w:right w:w="108" w:type="dxa"/>
        </w:tblCellMar>
        <w:tblLook w:firstRow="0" w:noVBand="0" w:lastRow="0" w:firstColumn="0" w:lastColumn="0" w:noHBand="0" w:val="0000"/>
      </w:tblPr>
      <w:tblGrid>
        <w:gridCol w:w="4464"/>
        <w:gridCol w:w="10781"/>
      </w:tblGrid>
      <w:tr>
        <w:trPr>
          <w:trHeight w:val="506" w:hRule="atLeast"/>
        </w:trPr>
        <w:tc>
          <w:tcPr>
            <w:tcW w:w="4464" w:type="dxa"/>
            <w:tcBorders/>
            <w:shd w:color="auto" w:fill="auto" w:val="clear"/>
          </w:tcPr>
          <w:p>
            <w:pPr>
              <w:pStyle w:val="Normal"/>
              <w:widowControl w:val="false"/>
              <w:spacing w:lineRule="auto" w:line="360"/>
              <w:jc w:val="center"/>
              <w:rPr>
                <w:b/>
                <w:b/>
                <w:bCs/>
                <w:sz w:val="22"/>
                <w:szCs w:val="22"/>
              </w:rPr>
            </w:pPr>
            <w:r>
              <w:rPr/>
              <w:drawing>
                <wp:inline distT="0" distB="0" distL="0" distR="0">
                  <wp:extent cx="477520" cy="546100"/>
                  <wp:effectExtent l="0" t="0" r="0" b="0"/>
                  <wp:docPr id="1" name="Slika 1" descr="rh_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rh_grb"/>
                          <pic:cNvPicPr>
                            <a:picLocks noChangeAspect="1" noChangeArrowheads="1"/>
                          </pic:cNvPicPr>
                        </pic:nvPicPr>
                        <pic:blipFill>
                          <a:blip r:embed="rId2"/>
                          <a:stretch>
                            <a:fillRect/>
                          </a:stretch>
                        </pic:blipFill>
                        <pic:spPr bwMode="auto">
                          <a:xfrm>
                            <a:off x="0" y="0"/>
                            <a:ext cx="477520" cy="546100"/>
                          </a:xfrm>
                          <a:prstGeom prst="rect">
                            <a:avLst/>
                          </a:prstGeom>
                        </pic:spPr>
                      </pic:pic>
                    </a:graphicData>
                  </a:graphic>
                </wp:inline>
              </w:drawing>
            </w:r>
          </w:p>
          <w:p>
            <w:pPr>
              <w:pStyle w:val="Normal"/>
              <w:widowControl w:val="false"/>
              <w:jc w:val="center"/>
              <w:rPr>
                <w:sz w:val="22"/>
                <w:szCs w:val="22"/>
              </w:rPr>
            </w:pPr>
            <w:r>
              <w:rPr>
                <w:sz w:val="22"/>
                <w:szCs w:val="22"/>
              </w:rPr>
              <w:t>REPUBLIKA HRVATSKA</w:t>
            </w:r>
          </w:p>
          <w:p>
            <w:pPr>
              <w:pStyle w:val="Normal"/>
              <w:widowControl w:val="false"/>
              <w:jc w:val="center"/>
              <w:rPr>
                <w:sz w:val="22"/>
                <w:szCs w:val="22"/>
              </w:rPr>
            </w:pPr>
            <w:r>
              <w:rPr>
                <w:sz w:val="22"/>
                <w:szCs w:val="22"/>
              </w:rPr>
              <w:t>KRAPINSKO - ZAGORSKA ŽUPANIJA</w:t>
            </w:r>
          </w:p>
          <w:p>
            <w:pPr>
              <w:pStyle w:val="Normal"/>
              <w:widowControl w:val="false"/>
              <w:jc w:val="center"/>
              <w:rPr>
                <w:sz w:val="22"/>
                <w:szCs w:val="22"/>
              </w:rPr>
            </w:pPr>
            <w:r>
              <w:rPr>
                <w:sz w:val="22"/>
                <w:szCs w:val="22"/>
              </w:rPr>
              <w:t>OPĆINA MIHOVLJAN</w:t>
            </w:r>
          </w:p>
          <w:p>
            <w:pPr>
              <w:pStyle w:val="Normal"/>
              <w:widowControl w:val="false"/>
              <w:jc w:val="center"/>
              <w:rPr>
                <w:sz w:val="22"/>
                <w:szCs w:val="22"/>
              </w:rPr>
            </w:pPr>
            <w:r>
              <w:rPr>
                <w:sz w:val="22"/>
                <w:szCs w:val="22"/>
              </w:rPr>
              <w:t>OPĆINSKO VIJEĆE</w:t>
            </w:r>
          </w:p>
          <w:p>
            <w:pPr>
              <w:pStyle w:val="Normal"/>
              <w:widowControl w:val="false"/>
              <w:jc w:val="center"/>
              <w:rPr>
                <w:b/>
                <w:b/>
                <w:sz w:val="22"/>
                <w:szCs w:val="22"/>
                <w:lang w:eastAsia="en-US"/>
              </w:rPr>
            </w:pPr>
            <w:r>
              <w:rPr>
                <w:b/>
                <w:sz w:val="22"/>
                <w:szCs w:val="22"/>
                <w:lang w:eastAsia="en-US"/>
              </w:rPr>
            </w:r>
          </w:p>
        </w:tc>
        <w:tc>
          <w:tcPr>
            <w:tcW w:w="10781" w:type="dxa"/>
            <w:tcBorders/>
            <w:shd w:color="auto" w:fill="auto" w:val="clear"/>
          </w:tcPr>
          <w:p>
            <w:pPr>
              <w:pStyle w:val="Normal"/>
              <w:widowControl w:val="false"/>
              <w:jc w:val="center"/>
              <w:rPr>
                <w:b/>
                <w:b/>
                <w:sz w:val="22"/>
                <w:szCs w:val="22"/>
                <w:lang w:eastAsia="en-US"/>
              </w:rPr>
            </w:pPr>
            <w:r>
              <w:rPr>
                <w:b/>
                <w:sz w:val="22"/>
                <w:szCs w:val="22"/>
                <w:lang w:eastAsia="en-US"/>
              </w:rPr>
            </w:r>
          </w:p>
          <w:p>
            <w:pPr>
              <w:pStyle w:val="Normal"/>
              <w:widowControl w:val="false"/>
              <w:jc w:val="center"/>
              <w:rPr>
                <w:b/>
                <w:b/>
                <w:sz w:val="22"/>
                <w:szCs w:val="22"/>
                <w:lang w:eastAsia="en-US"/>
              </w:rPr>
            </w:pPr>
            <w:r>
              <w:rPr>
                <w:b/>
                <w:sz w:val="22"/>
                <w:szCs w:val="22"/>
                <w:lang w:eastAsia="en-US"/>
              </w:rPr>
            </w:r>
          </w:p>
          <w:p>
            <w:pPr>
              <w:pStyle w:val="Normal"/>
              <w:widowControl w:val="false"/>
              <w:jc w:val="right"/>
              <w:rPr>
                <w:b/>
                <w:b/>
                <w:sz w:val="22"/>
                <w:szCs w:val="22"/>
                <w:u w:val="single"/>
                <w:lang w:eastAsia="en-US"/>
              </w:rPr>
            </w:pPr>
            <w:r>
              <w:rPr/>
            </w:r>
          </w:p>
        </w:tc>
      </w:tr>
    </w:tbl>
    <w:p>
      <w:pPr>
        <w:pStyle w:val="Normal"/>
        <w:rPr/>
      </w:pPr>
      <w:r>
        <w:rPr>
          <w:sz w:val="22"/>
          <w:szCs w:val="22"/>
        </w:rPr>
        <w:t>KLASA: 363-01/25-01/</w:t>
      </w:r>
      <w:r>
        <w:rPr>
          <w:sz w:val="22"/>
          <w:szCs w:val="22"/>
        </w:rPr>
        <w:t>30</w:t>
      </w:r>
    </w:p>
    <w:p>
      <w:pPr>
        <w:pStyle w:val="Normal"/>
        <w:rPr/>
      </w:pPr>
      <w:r>
        <w:rPr>
          <w:sz w:val="22"/>
          <w:szCs w:val="22"/>
        </w:rPr>
        <w:t>URBROJ: 2140-23-1-25-</w:t>
      </w:r>
      <w:r>
        <w:rPr>
          <w:sz w:val="22"/>
          <w:szCs w:val="22"/>
        </w:rPr>
        <w:t>02</w:t>
      </w:r>
    </w:p>
    <w:p>
      <w:pPr>
        <w:pStyle w:val="Normal"/>
        <w:rPr/>
      </w:pPr>
      <w:r>
        <w:rPr>
          <w:sz w:val="22"/>
          <w:szCs w:val="22"/>
        </w:rPr>
        <w:t xml:space="preserve">Mihovljan,  </w:t>
      </w:r>
      <w:r>
        <w:rPr>
          <w:sz w:val="22"/>
          <w:szCs w:val="22"/>
        </w:rPr>
        <w:t>19</w:t>
      </w:r>
      <w:r>
        <w:rPr>
          <w:sz w:val="22"/>
          <w:szCs w:val="22"/>
        </w:rPr>
        <w:t>. rujna 2025.</w:t>
      </w:r>
    </w:p>
    <w:p>
      <w:pPr>
        <w:pStyle w:val="Normal"/>
        <w:jc w:val="both"/>
        <w:rPr>
          <w:sz w:val="22"/>
          <w:szCs w:val="22"/>
        </w:rPr>
      </w:pPr>
      <w:r>
        <w:rPr>
          <w:sz w:val="22"/>
          <w:szCs w:val="22"/>
        </w:rPr>
      </w:r>
    </w:p>
    <w:p>
      <w:pPr>
        <w:pStyle w:val="Normal"/>
        <w:jc w:val="both"/>
        <w:rPr/>
      </w:pPr>
      <w:r>
        <w:rPr>
          <w:sz w:val="22"/>
          <w:szCs w:val="22"/>
        </w:rPr>
        <w:t xml:space="preserve">Na temelju članka 72. Zakona o komunalnom gospodarstvu („Narodne novine“ broj 68/18 i 110/18, 32/20) i članka 39. Statuta Općine Mihovljan („Službeni glasnik Krapinsko-zagorske županije“ br. 5/13, 11/18, 8/20, 8/21), Općinsko vijeće Općine Mihovljan na svojoj </w:t>
      </w:r>
      <w:r>
        <w:rPr>
          <w:sz w:val="22"/>
          <w:szCs w:val="22"/>
        </w:rPr>
        <w:t>3</w:t>
      </w:r>
      <w:r>
        <w:rPr>
          <w:sz w:val="22"/>
          <w:szCs w:val="22"/>
        </w:rPr>
        <w:t xml:space="preserve">. sjednici održanoj dana </w:t>
      </w:r>
      <w:r>
        <w:rPr>
          <w:sz w:val="22"/>
          <w:szCs w:val="22"/>
        </w:rPr>
        <w:t>19</w:t>
      </w:r>
      <w:r>
        <w:rPr>
          <w:sz w:val="22"/>
          <w:szCs w:val="22"/>
        </w:rPr>
        <w:t xml:space="preserve">. rujna </w:t>
      </w:r>
      <w:r>
        <w:rPr>
          <w:sz w:val="22"/>
          <w:szCs w:val="22"/>
        </w:rPr>
        <w:t>2025.</w:t>
      </w:r>
      <w:r>
        <w:rPr>
          <w:sz w:val="22"/>
          <w:szCs w:val="22"/>
        </w:rPr>
        <w:t xml:space="preserve"> godine, donijelo je</w:t>
      </w:r>
    </w:p>
    <w:p>
      <w:pPr>
        <w:pStyle w:val="Normal"/>
        <w:jc w:val="center"/>
        <w:rPr>
          <w:b/>
          <w:b/>
          <w:bCs/>
          <w:sz w:val="22"/>
          <w:szCs w:val="22"/>
        </w:rPr>
      </w:pPr>
      <w:r>
        <w:rPr>
          <w:b/>
          <w:bCs/>
          <w:sz w:val="22"/>
          <w:szCs w:val="22"/>
        </w:rPr>
      </w:r>
    </w:p>
    <w:p>
      <w:pPr>
        <w:pStyle w:val="ListParagraph"/>
        <w:ind w:left="1080" w:hanging="0"/>
        <w:jc w:val="center"/>
        <w:rPr/>
      </w:pPr>
      <w:r>
        <w:rPr>
          <w:b/>
          <w:sz w:val="24"/>
          <w:szCs w:val="24"/>
        </w:rPr>
        <w:t xml:space="preserve">POLUGODIŠNJE IZVJEŠĆE O IZVRŠENJU </w:t>
      </w:r>
      <w:r>
        <w:rPr>
          <w:b/>
          <w:bCs/>
          <w:sz w:val="24"/>
          <w:szCs w:val="24"/>
        </w:rPr>
        <w:t xml:space="preserve">PROGRAMA </w:t>
      </w:r>
      <w:r>
        <w:rPr>
          <w:b/>
          <w:bCs/>
          <w:sz w:val="22"/>
          <w:szCs w:val="22"/>
        </w:rPr>
        <w:t>ODRŽAVANJA OBJEKATA KOMUNALNE INFRASTRUKTURE</w:t>
      </w:r>
    </w:p>
    <w:p>
      <w:pPr>
        <w:pStyle w:val="ListParagraph"/>
        <w:ind w:left="1080" w:hanging="0"/>
        <w:jc w:val="center"/>
        <w:rPr/>
      </w:pPr>
      <w:r>
        <w:rPr>
          <w:b/>
          <w:bCs/>
          <w:color w:val="00000A"/>
          <w:sz w:val="22"/>
          <w:szCs w:val="22"/>
        </w:rPr>
        <w:t>NA PODRUČJU OPĆINE MIHOVLJAN U 2025. GODINI</w:t>
      </w:r>
      <w:r>
        <w:rPr>
          <w:b/>
          <w:bCs/>
          <w:sz w:val="24"/>
          <w:szCs w:val="24"/>
        </w:rPr>
        <w:t xml:space="preserve"> za razdoblje od 01.01.-30.06.2025. godine</w:t>
      </w:r>
    </w:p>
    <w:p>
      <w:pPr>
        <w:pStyle w:val="Normal"/>
        <w:jc w:val="center"/>
        <w:rPr/>
      </w:pPr>
      <w:r>
        <w:rPr>
          <w:b/>
          <w:bCs/>
          <w:sz w:val="22"/>
          <w:szCs w:val="22"/>
        </w:rPr>
        <w:t xml:space="preserve"> </w:t>
      </w:r>
    </w:p>
    <w:p>
      <w:pPr>
        <w:pStyle w:val="Normal"/>
        <w:rPr>
          <w:sz w:val="22"/>
          <w:szCs w:val="22"/>
        </w:rPr>
      </w:pPr>
      <w:r>
        <w:rPr>
          <w:sz w:val="22"/>
          <w:szCs w:val="22"/>
        </w:rPr>
      </w:r>
    </w:p>
    <w:p>
      <w:pPr>
        <w:pStyle w:val="Normal"/>
        <w:jc w:val="center"/>
        <w:rPr>
          <w:b/>
          <w:b/>
          <w:bCs/>
          <w:sz w:val="22"/>
          <w:szCs w:val="22"/>
        </w:rPr>
      </w:pPr>
      <w:r>
        <w:rPr>
          <w:b/>
          <w:bCs/>
          <w:sz w:val="22"/>
          <w:szCs w:val="22"/>
        </w:rPr>
      </w:r>
    </w:p>
    <w:p>
      <w:pPr>
        <w:pStyle w:val="Normal"/>
        <w:jc w:val="center"/>
        <w:rPr>
          <w:b/>
          <w:b/>
          <w:bCs/>
          <w:sz w:val="22"/>
          <w:szCs w:val="22"/>
        </w:rPr>
      </w:pPr>
      <w:r>
        <w:rPr>
          <w:b/>
          <w:bCs/>
          <w:sz w:val="22"/>
          <w:szCs w:val="22"/>
        </w:rPr>
        <w:t>Članak 1.</w:t>
      </w:r>
    </w:p>
    <w:p>
      <w:pPr>
        <w:pStyle w:val="Normal"/>
        <w:jc w:val="both"/>
        <w:rPr/>
      </w:pPr>
      <w:r>
        <w:rPr>
          <w:b/>
          <w:sz w:val="22"/>
          <w:szCs w:val="22"/>
        </w:rPr>
        <w:tab/>
      </w:r>
      <w:r>
        <w:rPr>
          <w:sz w:val="22"/>
          <w:szCs w:val="22"/>
        </w:rPr>
        <w:t>Ovim Programom održavanja komunalne infrastrukture u 2025. godini na području Općine Mihovljan u skladu s predvidivim sredstvima i izvorima financiranja, određuju radovi na održavanju objekata i uređaja komunalne infrastrukture koji se razumijevaju obavljanjem komunalnih djelatnosti:</w:t>
      </w:r>
    </w:p>
    <w:p>
      <w:pPr>
        <w:pStyle w:val="Normal"/>
        <w:numPr>
          <w:ilvl w:val="0"/>
          <w:numId w:val="1"/>
        </w:numPr>
        <w:jc w:val="both"/>
        <w:rPr>
          <w:sz w:val="22"/>
          <w:szCs w:val="22"/>
        </w:rPr>
      </w:pPr>
      <w:r>
        <w:rPr>
          <w:sz w:val="22"/>
          <w:szCs w:val="22"/>
        </w:rPr>
        <w:t>održavanja nerazvrstanih cesta i javno prometnih površina</w:t>
      </w:r>
    </w:p>
    <w:p>
      <w:pPr>
        <w:pStyle w:val="Normal"/>
        <w:numPr>
          <w:ilvl w:val="0"/>
          <w:numId w:val="1"/>
        </w:numPr>
        <w:jc w:val="both"/>
        <w:rPr>
          <w:sz w:val="22"/>
          <w:szCs w:val="22"/>
        </w:rPr>
      </w:pPr>
      <w:r>
        <w:rPr>
          <w:sz w:val="22"/>
          <w:szCs w:val="22"/>
        </w:rPr>
        <w:t xml:space="preserve">održavanja javnih zelenih površina i parkova </w:t>
      </w:r>
    </w:p>
    <w:p>
      <w:pPr>
        <w:pStyle w:val="Normal"/>
        <w:numPr>
          <w:ilvl w:val="0"/>
          <w:numId w:val="1"/>
        </w:numPr>
        <w:jc w:val="both"/>
        <w:rPr>
          <w:sz w:val="22"/>
          <w:szCs w:val="22"/>
        </w:rPr>
      </w:pPr>
      <w:r>
        <w:rPr>
          <w:sz w:val="22"/>
          <w:szCs w:val="22"/>
        </w:rPr>
        <w:t>održavanja groblja</w:t>
      </w:r>
    </w:p>
    <w:p>
      <w:pPr>
        <w:pStyle w:val="Normal"/>
        <w:numPr>
          <w:ilvl w:val="0"/>
          <w:numId w:val="1"/>
        </w:numPr>
        <w:jc w:val="both"/>
        <w:rPr/>
      </w:pPr>
      <w:r>
        <w:rPr>
          <w:sz w:val="22"/>
          <w:szCs w:val="22"/>
        </w:rPr>
        <w:t>održavanje javne rasvjete</w:t>
      </w:r>
    </w:p>
    <w:p>
      <w:pPr>
        <w:pStyle w:val="Normal"/>
        <w:jc w:val="center"/>
        <w:rPr>
          <w:b/>
          <w:b/>
          <w:bCs/>
          <w:sz w:val="22"/>
          <w:szCs w:val="22"/>
        </w:rPr>
      </w:pPr>
      <w:r>
        <w:rPr>
          <w:b/>
          <w:bCs/>
          <w:sz w:val="22"/>
          <w:szCs w:val="22"/>
        </w:rPr>
      </w:r>
    </w:p>
    <w:p>
      <w:pPr>
        <w:pStyle w:val="Normal"/>
        <w:jc w:val="center"/>
        <w:rPr>
          <w:b/>
          <w:b/>
          <w:bCs/>
          <w:sz w:val="22"/>
          <w:szCs w:val="22"/>
        </w:rPr>
      </w:pPr>
      <w:r>
        <w:rPr>
          <w:b/>
          <w:bCs/>
          <w:sz w:val="22"/>
          <w:szCs w:val="22"/>
        </w:rPr>
        <w:t>Članak 2.</w:t>
      </w:r>
    </w:p>
    <w:p>
      <w:pPr>
        <w:pStyle w:val="Normal"/>
        <w:jc w:val="both"/>
        <w:rPr>
          <w:sz w:val="22"/>
          <w:szCs w:val="22"/>
        </w:rPr>
      </w:pPr>
      <w:r>
        <w:rPr>
          <w:sz w:val="22"/>
          <w:szCs w:val="22"/>
        </w:rPr>
        <w:tab/>
        <w:t>Ovim se Programom utvrđuje opis i opseg poslova održavanja s procjenom pojedinih troškova, po djelatnostima, te iskaz financijskih sredstava potrebnih za ostvarivanje Programa s naznakom izvora financiranja.</w:t>
      </w:r>
    </w:p>
    <w:p>
      <w:pPr>
        <w:pStyle w:val="Normal"/>
        <w:jc w:val="both"/>
        <w:rPr/>
      </w:pPr>
      <w:r>
        <w:rPr>
          <w:sz w:val="22"/>
          <w:szCs w:val="22"/>
        </w:rPr>
        <w:tab/>
        <w:t>Program održavanja komunalne infrastrukture u 2025. godini izrađen je u skladu s predvidivim sredstvima i izvornima financiranja utvrđenih Proračunom Općine Mihovljan za 2025. godinu.</w:t>
      </w:r>
    </w:p>
    <w:p>
      <w:pPr>
        <w:pStyle w:val="Normal"/>
        <w:jc w:val="both"/>
        <w:rPr>
          <w:sz w:val="22"/>
          <w:szCs w:val="22"/>
        </w:rPr>
      </w:pPr>
      <w:r>
        <w:rPr>
          <w:sz w:val="22"/>
          <w:szCs w:val="22"/>
        </w:rPr>
      </w:r>
    </w:p>
    <w:p>
      <w:pPr>
        <w:pStyle w:val="Normal"/>
        <w:jc w:val="center"/>
        <w:rPr>
          <w:b/>
          <w:b/>
          <w:sz w:val="22"/>
          <w:szCs w:val="22"/>
        </w:rPr>
      </w:pPr>
      <w:r>
        <w:rPr>
          <w:b/>
          <w:sz w:val="22"/>
          <w:szCs w:val="22"/>
        </w:rPr>
      </w:r>
    </w:p>
    <w:p>
      <w:pPr>
        <w:pStyle w:val="Normal"/>
        <w:jc w:val="center"/>
        <w:rPr>
          <w:b/>
          <w:b/>
          <w:sz w:val="22"/>
          <w:szCs w:val="22"/>
        </w:rPr>
      </w:pPr>
      <w:r>
        <w:rPr>
          <w:b/>
          <w:sz w:val="22"/>
          <w:szCs w:val="22"/>
        </w:rPr>
      </w:r>
    </w:p>
    <w:p>
      <w:pPr>
        <w:pStyle w:val="Normal"/>
        <w:jc w:val="center"/>
        <w:rPr>
          <w:b/>
          <w:b/>
          <w:sz w:val="22"/>
          <w:szCs w:val="22"/>
        </w:rPr>
      </w:pPr>
      <w:r>
        <w:rPr>
          <w:b/>
          <w:sz w:val="22"/>
          <w:szCs w:val="22"/>
        </w:rPr>
      </w:r>
    </w:p>
    <w:p>
      <w:pPr>
        <w:pStyle w:val="Normal"/>
        <w:jc w:val="center"/>
        <w:rPr>
          <w:b/>
          <w:b/>
          <w:sz w:val="22"/>
          <w:szCs w:val="22"/>
        </w:rPr>
      </w:pPr>
      <w:r>
        <w:rPr>
          <w:b/>
          <w:sz w:val="22"/>
          <w:szCs w:val="22"/>
        </w:rPr>
      </w:r>
    </w:p>
    <w:p>
      <w:pPr>
        <w:pStyle w:val="Normal"/>
        <w:jc w:val="center"/>
        <w:rPr>
          <w:b/>
          <w:b/>
          <w:sz w:val="22"/>
          <w:szCs w:val="22"/>
        </w:rPr>
      </w:pPr>
      <w:r>
        <w:rPr>
          <w:b/>
          <w:sz w:val="22"/>
          <w:szCs w:val="22"/>
        </w:rPr>
      </w:r>
    </w:p>
    <w:p>
      <w:pPr>
        <w:pStyle w:val="Normal"/>
        <w:jc w:val="center"/>
        <w:rPr>
          <w:b/>
          <w:b/>
          <w:sz w:val="22"/>
          <w:szCs w:val="22"/>
        </w:rPr>
      </w:pPr>
      <w:r>
        <w:rPr>
          <w:b/>
          <w:sz w:val="22"/>
          <w:szCs w:val="22"/>
        </w:rPr>
      </w:r>
    </w:p>
    <w:p>
      <w:pPr>
        <w:pStyle w:val="Normal"/>
        <w:jc w:val="center"/>
        <w:rPr>
          <w:b/>
          <w:b/>
          <w:sz w:val="22"/>
          <w:szCs w:val="22"/>
        </w:rPr>
      </w:pPr>
      <w:r>
        <w:rPr>
          <w:b/>
          <w:sz w:val="22"/>
          <w:szCs w:val="22"/>
        </w:rPr>
      </w:r>
    </w:p>
    <w:p>
      <w:pPr>
        <w:pStyle w:val="Normal"/>
        <w:jc w:val="center"/>
        <w:rPr/>
      </w:pPr>
      <w:r>
        <w:rPr>
          <w:b/>
          <w:sz w:val="22"/>
          <w:szCs w:val="22"/>
        </w:rPr>
        <w:t>Članak 3.</w:t>
      </w:r>
    </w:p>
    <w:p>
      <w:pPr>
        <w:pStyle w:val="Normal"/>
        <w:ind w:firstLine="708"/>
        <w:jc w:val="both"/>
        <w:rPr>
          <w:sz w:val="22"/>
          <w:szCs w:val="22"/>
        </w:rPr>
      </w:pPr>
      <w:r>
        <w:rPr>
          <w:sz w:val="22"/>
          <w:szCs w:val="22"/>
        </w:rPr>
      </w:r>
    </w:p>
    <w:p>
      <w:pPr>
        <w:pStyle w:val="Normal"/>
        <w:spacing w:lineRule="auto" w:line="264"/>
        <w:rPr>
          <w:b/>
          <w:b/>
          <w:sz w:val="22"/>
          <w:szCs w:val="22"/>
        </w:rPr>
      </w:pPr>
      <w:r>
        <w:rPr>
          <w:b/>
          <w:sz w:val="22"/>
          <w:szCs w:val="22"/>
        </w:rPr>
        <w:t>1. ODRŽAVANJE NERAZVRSTANIH CESTA</w:t>
      </w:r>
    </w:p>
    <w:p>
      <w:pPr>
        <w:pStyle w:val="Normal"/>
        <w:spacing w:lineRule="auto" w:line="264"/>
        <w:jc w:val="both"/>
        <w:rPr>
          <w:sz w:val="22"/>
          <w:szCs w:val="22"/>
        </w:rPr>
      </w:pPr>
      <w:r>
        <w:rPr>
          <w:sz w:val="22"/>
          <w:szCs w:val="22"/>
        </w:rPr>
        <w:tab/>
        <w:t>Pod održavanjem nerazvrstanih cesta podrazumijeva se skup mjera i radnji koje se obavljaju tijekom cijele godine na nerazvrstanim cestama, uključujući i svu opremu, uređaje i instalacije, sa svrhom održavanja prohodnosti i tehničke ispravnosti cesta i prometne sigurnosti na njima (redovito održavanje), kao i mjestimičnog poboljšanja elemenata ceste, osiguravanja sigurnosti i trajnosti ceste i cestovnih objekata i povećanja sigurnosti prometa (izvanredno održavanje), a u skladu s propisima kojima je uređeno održavanje ceste.</w:t>
      </w:r>
    </w:p>
    <w:p>
      <w:pPr>
        <w:pStyle w:val="Normal"/>
        <w:spacing w:lineRule="auto" w:line="264"/>
        <w:jc w:val="both"/>
        <w:rPr/>
      </w:pPr>
      <w:r>
        <w:rPr>
          <w:sz w:val="22"/>
          <w:szCs w:val="22"/>
        </w:rPr>
        <w:tab/>
        <w:t>Dionice nerazvrstanih cesta, potrebne količine kamenog materijala, betonske cijevi i usluge građevinskom mehanizacijom utvrdit će načelnik na prijedlog Mjesnih odbora, a zavisno o visini sredstava po Mjesnim odborima.</w:t>
      </w:r>
    </w:p>
    <w:p>
      <w:pPr>
        <w:pStyle w:val="Normal"/>
        <w:spacing w:lineRule="auto" w:line="264"/>
        <w:jc w:val="both"/>
        <w:rPr>
          <w:sz w:val="22"/>
          <w:szCs w:val="22"/>
        </w:rPr>
      </w:pPr>
      <w:r>
        <w:rPr>
          <w:sz w:val="22"/>
          <w:szCs w:val="22"/>
        </w:rPr>
      </w:r>
    </w:p>
    <w:p>
      <w:pPr>
        <w:pStyle w:val="Normal"/>
        <w:spacing w:lineRule="auto" w:line="264"/>
        <w:jc w:val="both"/>
        <w:rPr>
          <w:sz w:val="22"/>
          <w:szCs w:val="22"/>
        </w:rPr>
      </w:pPr>
      <w:r>
        <w:rPr>
          <w:sz w:val="22"/>
          <w:szCs w:val="22"/>
        </w:rPr>
      </w:r>
    </w:p>
    <w:tbl>
      <w:tblPr>
        <w:tblStyle w:val="Reetkatablice"/>
        <w:tblW w:w="14800" w:type="dxa"/>
        <w:jc w:val="left"/>
        <w:tblInd w:w="0" w:type="dxa"/>
        <w:tblCellMar>
          <w:top w:w="0" w:type="dxa"/>
          <w:left w:w="108" w:type="dxa"/>
          <w:bottom w:w="0" w:type="dxa"/>
          <w:right w:w="108" w:type="dxa"/>
        </w:tblCellMar>
        <w:tblLook w:firstRow="1" w:noVBand="1" w:lastRow="0" w:firstColumn="1" w:lastColumn="0" w:noHBand="0" w:val="04a0"/>
      </w:tblPr>
      <w:tblGrid>
        <w:gridCol w:w="645"/>
        <w:gridCol w:w="1717"/>
        <w:gridCol w:w="6301"/>
        <w:gridCol w:w="2099"/>
        <w:gridCol w:w="2"/>
        <w:gridCol w:w="2212"/>
        <w:gridCol w:w="3"/>
        <w:gridCol w:w="3"/>
        <w:gridCol w:w="1817"/>
      </w:tblGrid>
      <w:tr>
        <w:trPr>
          <w:trHeight w:val="397" w:hRule="atLeast"/>
        </w:trPr>
        <w:tc>
          <w:tcPr>
            <w:tcW w:w="12982" w:type="dxa"/>
            <w:gridSpan w:val="8"/>
            <w:tcBorders>
              <w:right w:val="nil"/>
            </w:tcBorders>
            <w:shd w:color="auto" w:fill="D9D9D9" w:themeFill="background1" w:themeFillShade="d9" w:val="clear"/>
            <w:vAlign w:val="center"/>
          </w:tcPr>
          <w:p>
            <w:pPr>
              <w:pStyle w:val="Normal"/>
              <w:widowControl w:val="false"/>
              <w:spacing w:lineRule="auto" w:line="264"/>
              <w:jc w:val="center"/>
              <w:rPr/>
            </w:pPr>
            <w:r>
              <w:rPr>
                <w:b/>
                <w:sz w:val="22"/>
                <w:szCs w:val="22"/>
              </w:rPr>
              <w:t xml:space="preserve">1. ODRŽAVANJE NERAZVRSTANIH CESTA </w:t>
            </w:r>
          </w:p>
        </w:tc>
        <w:tc>
          <w:tcPr>
            <w:tcW w:w="1817" w:type="dxa"/>
            <w:tcBorders/>
            <w:shd w:color="auto" w:fill="D9D9D9" w:themeFill="background1" w:themeFillShade="d9" w:val="clear"/>
            <w:vAlign w:val="center"/>
          </w:tcPr>
          <w:p>
            <w:pPr>
              <w:pStyle w:val="Normal"/>
              <w:widowControl w:val="false"/>
              <w:spacing w:lineRule="auto" w:line="264"/>
              <w:jc w:val="center"/>
              <w:rPr/>
            </w:pPr>
            <w:r>
              <w:rPr/>
            </w:r>
          </w:p>
        </w:tc>
      </w:tr>
      <w:tr>
        <w:trPr>
          <w:trHeight w:val="397" w:hRule="atLeast"/>
        </w:trPr>
        <w:tc>
          <w:tcPr>
            <w:tcW w:w="645" w:type="dxa"/>
            <w:tcBorders/>
            <w:shd w:color="auto" w:fill="FFFFFF" w:themeFill="background1" w:val="clear"/>
            <w:vAlign w:val="center"/>
          </w:tcPr>
          <w:p>
            <w:pPr>
              <w:pStyle w:val="Normal"/>
              <w:widowControl w:val="false"/>
              <w:jc w:val="center"/>
              <w:rPr/>
            </w:pPr>
            <w:r>
              <w:rPr>
                <w:b/>
                <w:bCs/>
                <w:sz w:val="20"/>
                <w:szCs w:val="20"/>
              </w:rPr>
              <w:t>red.br.</w:t>
            </w:r>
          </w:p>
        </w:tc>
        <w:tc>
          <w:tcPr>
            <w:tcW w:w="1717" w:type="dxa"/>
            <w:tcBorders/>
            <w:shd w:color="auto" w:fill="FFFFFF" w:themeFill="background1" w:val="clear"/>
            <w:vAlign w:val="center"/>
          </w:tcPr>
          <w:p>
            <w:pPr>
              <w:pStyle w:val="Normal"/>
              <w:widowControl w:val="false"/>
              <w:jc w:val="center"/>
              <w:rPr/>
            </w:pPr>
            <w:r>
              <w:rPr>
                <w:b/>
                <w:bCs/>
                <w:sz w:val="20"/>
                <w:szCs w:val="20"/>
              </w:rPr>
              <w:t>Opis poslova</w:t>
            </w:r>
          </w:p>
        </w:tc>
        <w:tc>
          <w:tcPr>
            <w:tcW w:w="6301" w:type="dxa"/>
            <w:tcBorders>
              <w:right w:val="nil"/>
            </w:tcBorders>
            <w:shd w:color="auto" w:fill="FFFFFF" w:themeFill="background1" w:val="clear"/>
            <w:vAlign w:val="center"/>
          </w:tcPr>
          <w:p>
            <w:pPr>
              <w:pStyle w:val="Normal"/>
              <w:widowControl w:val="false"/>
              <w:jc w:val="center"/>
              <w:rPr/>
            </w:pPr>
            <w:r>
              <w:rPr>
                <w:b/>
                <w:bCs/>
                <w:sz w:val="20"/>
                <w:szCs w:val="20"/>
              </w:rPr>
              <w:t>Planirani opseg poslova</w:t>
            </w:r>
          </w:p>
        </w:tc>
        <w:tc>
          <w:tcPr>
            <w:tcW w:w="2099" w:type="dxa"/>
            <w:tcBorders/>
            <w:shd w:color="auto" w:fill="FFFFFF" w:themeFill="background1" w:val="clear"/>
            <w:vAlign w:val="center"/>
          </w:tcPr>
          <w:p>
            <w:pPr>
              <w:pStyle w:val="Normal"/>
              <w:widowControl w:val="false"/>
              <w:jc w:val="both"/>
              <w:rPr/>
            </w:pPr>
            <w:r>
              <w:rPr>
                <w:b/>
                <w:bCs/>
                <w:sz w:val="20"/>
                <w:szCs w:val="20"/>
              </w:rPr>
              <w:t>Izvori financiranja</w:t>
            </w:r>
          </w:p>
        </w:tc>
        <w:tc>
          <w:tcPr>
            <w:tcW w:w="2214" w:type="dxa"/>
            <w:gridSpan w:val="2"/>
            <w:tcBorders>
              <w:right w:val="nil"/>
            </w:tcBorders>
            <w:shd w:color="auto" w:fill="FFFFFF" w:themeFill="background1" w:val="clear"/>
            <w:vAlign w:val="center"/>
          </w:tcPr>
          <w:p>
            <w:pPr>
              <w:pStyle w:val="Normal"/>
              <w:widowControl w:val="false"/>
              <w:jc w:val="center"/>
              <w:rPr/>
            </w:pPr>
            <w:r>
              <w:rPr>
                <w:b/>
                <w:bCs/>
                <w:sz w:val="20"/>
                <w:szCs w:val="20"/>
              </w:rPr>
              <w:t>Planirano ukupno (EUR)</w:t>
            </w:r>
          </w:p>
        </w:tc>
        <w:tc>
          <w:tcPr>
            <w:tcW w:w="1823" w:type="dxa"/>
            <w:gridSpan w:val="3"/>
            <w:tcBorders/>
            <w:shd w:color="auto" w:fill="FFFFFF" w:themeFill="background1" w:val="clear"/>
            <w:vAlign w:val="center"/>
          </w:tcPr>
          <w:p>
            <w:pPr>
              <w:pStyle w:val="Normal"/>
              <w:widowControl w:val="false"/>
              <w:jc w:val="center"/>
              <w:rPr>
                <w:b/>
                <w:b/>
                <w:bCs/>
              </w:rPr>
            </w:pPr>
            <w:r>
              <w:rPr>
                <w:b/>
                <w:bCs/>
                <w:sz w:val="22"/>
                <w:szCs w:val="22"/>
              </w:rPr>
              <w:t>Polugodišnje izvješće za razdoblje 01.01.-30.06.2025</w:t>
            </w:r>
          </w:p>
        </w:tc>
      </w:tr>
      <w:tr>
        <w:trPr>
          <w:trHeight w:val="340" w:hRule="atLeast"/>
        </w:trPr>
        <w:tc>
          <w:tcPr>
            <w:tcW w:w="645" w:type="dxa"/>
            <w:tcBorders/>
            <w:shd w:color="auto" w:fill="FFFFFF" w:themeFill="background1" w:val="clear"/>
            <w:vAlign w:val="center"/>
          </w:tcPr>
          <w:p>
            <w:pPr>
              <w:pStyle w:val="Normal"/>
              <w:widowControl w:val="false"/>
              <w:jc w:val="center"/>
              <w:rPr/>
            </w:pPr>
            <w:r>
              <w:rPr>
                <w:sz w:val="20"/>
                <w:szCs w:val="20"/>
              </w:rPr>
              <w:t>1.1.</w:t>
            </w:r>
          </w:p>
        </w:tc>
        <w:tc>
          <w:tcPr>
            <w:tcW w:w="1717" w:type="dxa"/>
            <w:tcBorders/>
            <w:shd w:color="auto" w:fill="FFFFFF" w:themeFill="background1" w:val="clear"/>
            <w:vAlign w:val="center"/>
          </w:tcPr>
          <w:p>
            <w:pPr>
              <w:pStyle w:val="Normal"/>
              <w:widowControl w:val="false"/>
              <w:jc w:val="both"/>
              <w:rPr/>
            </w:pPr>
            <w:r>
              <w:rPr>
                <w:sz w:val="20"/>
                <w:szCs w:val="20"/>
              </w:rPr>
              <w:t>Prijevoz materijala po cestama</w:t>
            </w:r>
          </w:p>
        </w:tc>
        <w:tc>
          <w:tcPr>
            <w:tcW w:w="6301" w:type="dxa"/>
            <w:tcBorders>
              <w:right w:val="nil"/>
            </w:tcBorders>
            <w:shd w:color="auto" w:fill="FFFFFF" w:themeFill="background1" w:val="clear"/>
            <w:vAlign w:val="center"/>
          </w:tcPr>
          <w:p>
            <w:pPr>
              <w:pStyle w:val="Normal"/>
              <w:widowControl w:val="false"/>
              <w:jc w:val="both"/>
              <w:textAlignment w:val="baseline"/>
              <w:rPr/>
            </w:pPr>
            <w:r>
              <w:rPr>
                <w:sz w:val="20"/>
                <w:szCs w:val="20"/>
              </w:rPr>
              <w:t>Prijevoz kamenog materijala kamionom najveće dopuštene mase 18 tona, od kamenoloma (Očura - Golubovec) do mjesta ugradnje s istovarom na cestu (uračunat i dolazak do kamenoloma). Procijenjena godišnja količina materijala kojeg treba prevesti iznosi 2.500,00 tona.  Procjena za mjesni odbor Mihovljan iznosi 1.400,00 tona, za mjesni odbor Gregurovec iznosi 850,00 tona, dok za mjesni odbor Kuzminec iznosi 250,00 tona. Dinamika prijevoza sukladno planovima i prijedlozima  mjesnih odbora, zahtjevima mještana i potrebama na terenu.</w:t>
            </w:r>
          </w:p>
        </w:tc>
        <w:tc>
          <w:tcPr>
            <w:tcW w:w="2099" w:type="dxa"/>
            <w:tcBorders/>
            <w:shd w:color="auto" w:fill="FFFFFF" w:themeFill="background1" w:val="clear"/>
            <w:vAlign w:val="center"/>
          </w:tcPr>
          <w:p>
            <w:pPr>
              <w:pStyle w:val="Normal"/>
              <w:jc w:val="both"/>
              <w:rPr/>
            </w:pPr>
            <w:r>
              <w:rPr>
                <w:sz w:val="20"/>
                <w:szCs w:val="20"/>
              </w:rPr>
              <w:t>Proračun Općine = 15.000,00 EUR (43- prihodi za posebne namjene)</w:t>
            </w:r>
          </w:p>
        </w:tc>
        <w:tc>
          <w:tcPr>
            <w:tcW w:w="2214" w:type="dxa"/>
            <w:gridSpan w:val="2"/>
            <w:tcBorders>
              <w:right w:val="nil"/>
            </w:tcBorders>
            <w:shd w:color="auto" w:fill="FFFFFF" w:themeFill="background1" w:val="clear"/>
            <w:vAlign w:val="center"/>
          </w:tcPr>
          <w:p>
            <w:pPr>
              <w:pStyle w:val="Normal"/>
              <w:widowControl w:val="false"/>
              <w:jc w:val="center"/>
              <w:rPr/>
            </w:pPr>
            <w:r>
              <w:rPr>
                <w:sz w:val="20"/>
                <w:szCs w:val="20"/>
              </w:rPr>
              <w:t>15.000,00</w:t>
            </w:r>
          </w:p>
        </w:tc>
        <w:tc>
          <w:tcPr>
            <w:tcW w:w="1823" w:type="dxa"/>
            <w:gridSpan w:val="3"/>
            <w:tcBorders/>
            <w:shd w:color="auto" w:fill="FFFFFF" w:themeFill="background1" w:val="clear"/>
            <w:vAlign w:val="center"/>
          </w:tcPr>
          <w:p>
            <w:pPr>
              <w:pStyle w:val="Normal"/>
              <w:widowControl w:val="false"/>
              <w:jc w:val="center"/>
              <w:rPr/>
            </w:pPr>
            <w:r>
              <w:rPr/>
              <w:t>13.011,37</w:t>
            </w:r>
          </w:p>
        </w:tc>
      </w:tr>
      <w:tr>
        <w:trPr>
          <w:trHeight w:val="340" w:hRule="atLeast"/>
        </w:trPr>
        <w:tc>
          <w:tcPr>
            <w:tcW w:w="645" w:type="dxa"/>
            <w:tcBorders/>
            <w:shd w:color="auto" w:fill="FFFFFF" w:themeFill="background1" w:val="clear"/>
            <w:vAlign w:val="center"/>
          </w:tcPr>
          <w:p>
            <w:pPr>
              <w:pStyle w:val="Normal"/>
              <w:widowControl w:val="false"/>
              <w:jc w:val="center"/>
              <w:rPr/>
            </w:pPr>
            <w:r>
              <w:rPr>
                <w:sz w:val="20"/>
                <w:szCs w:val="20"/>
              </w:rPr>
              <w:t>1.2.</w:t>
            </w:r>
          </w:p>
        </w:tc>
        <w:tc>
          <w:tcPr>
            <w:tcW w:w="1717" w:type="dxa"/>
            <w:tcBorders/>
            <w:shd w:color="auto" w:fill="FFFFFF" w:themeFill="background1" w:val="clear"/>
            <w:vAlign w:val="center"/>
          </w:tcPr>
          <w:p>
            <w:pPr>
              <w:pStyle w:val="Normal"/>
              <w:widowControl w:val="false"/>
              <w:jc w:val="both"/>
              <w:rPr/>
            </w:pPr>
            <w:r>
              <w:rPr>
                <w:sz w:val="20"/>
                <w:szCs w:val="20"/>
              </w:rPr>
              <w:t>Rad strojem</w:t>
            </w:r>
          </w:p>
        </w:tc>
        <w:tc>
          <w:tcPr>
            <w:tcW w:w="6301" w:type="dxa"/>
            <w:tcBorders>
              <w:right w:val="nil"/>
            </w:tcBorders>
            <w:shd w:color="auto" w:fill="FFFFFF" w:themeFill="background1" w:val="clear"/>
            <w:vAlign w:val="center"/>
          </w:tcPr>
          <w:p>
            <w:pPr>
              <w:pStyle w:val="Normal"/>
              <w:widowControl w:val="false"/>
              <w:jc w:val="both"/>
              <w:rPr/>
            </w:pPr>
            <w:r>
              <w:rPr>
                <w:sz w:val="20"/>
                <w:szCs w:val="20"/>
              </w:rPr>
              <w:t>Strojno planiranje postojećeg materijala makadamskih cesta, iskop, poravnavanje, razgrtanje nasipnog materijala, proširenje, uređenje bankina po nerazvrstanim cestama i sl. Strojno čišćenje postojećih odvodnih cestovnih jaraka (kanala) od mulja i urušenog zemljanog materijala, s odvozom otpadnog materijala na deponiju. Strojno čišćenje postojećih odvodnih cestovnih jaraka (kanala) od mulja i urušenog zemljanog materijala, bez odvoza otpadnog materijala na deponiju, odnosno razgrtanje uz postojeći jarak (kanal). Strojni iskop novih odvodnih cestovnih jaraka (kanala), s odvozom otpadnog materijala na deponiju. Strojni iskop novih odvodnih cestovnih jaraka (kanala), bez odvoza otpadnog materijala na deponiju, odnosno razgrtanje uz jarak (kanal). Postavljanje betonskih/PVC cijevi. Radovi se odvijaju sukladno planovima mjesnih odbora i potreba na terenu.</w:t>
            </w:r>
          </w:p>
        </w:tc>
        <w:tc>
          <w:tcPr>
            <w:tcW w:w="2099" w:type="dxa"/>
            <w:tcBorders/>
            <w:shd w:color="auto" w:fill="FFFFFF" w:themeFill="background1" w:val="clear"/>
            <w:vAlign w:val="center"/>
          </w:tcPr>
          <w:p>
            <w:pPr>
              <w:pStyle w:val="Normal"/>
              <w:jc w:val="both"/>
              <w:rPr/>
            </w:pPr>
            <w:r>
              <w:rPr>
                <w:sz w:val="20"/>
                <w:szCs w:val="20"/>
              </w:rPr>
              <w:t>Proračun Općine = 15.000,00 EUR (43- prihodi za posebne namjene)</w:t>
            </w:r>
          </w:p>
        </w:tc>
        <w:tc>
          <w:tcPr>
            <w:tcW w:w="2214" w:type="dxa"/>
            <w:gridSpan w:val="2"/>
            <w:tcBorders>
              <w:right w:val="nil"/>
            </w:tcBorders>
            <w:shd w:color="auto" w:fill="FFFFFF" w:themeFill="background1" w:val="clear"/>
            <w:vAlign w:val="center"/>
          </w:tcPr>
          <w:p>
            <w:pPr>
              <w:pStyle w:val="Normal"/>
              <w:widowControl w:val="false"/>
              <w:jc w:val="center"/>
              <w:rPr/>
            </w:pPr>
            <w:r>
              <w:rPr>
                <w:sz w:val="20"/>
                <w:szCs w:val="20"/>
              </w:rPr>
              <w:t>15.000,00</w:t>
            </w:r>
          </w:p>
        </w:tc>
        <w:tc>
          <w:tcPr>
            <w:tcW w:w="1823" w:type="dxa"/>
            <w:gridSpan w:val="3"/>
            <w:tcBorders/>
            <w:shd w:color="auto" w:fill="FFFFFF" w:themeFill="background1" w:val="clear"/>
            <w:vAlign w:val="center"/>
          </w:tcPr>
          <w:p>
            <w:pPr>
              <w:pStyle w:val="Normal"/>
              <w:widowControl w:val="false"/>
              <w:jc w:val="center"/>
              <w:rPr/>
            </w:pPr>
            <w:r>
              <w:rPr/>
              <w:t>7.650,00</w:t>
            </w:r>
          </w:p>
        </w:tc>
      </w:tr>
      <w:tr>
        <w:trPr>
          <w:trHeight w:val="340" w:hRule="atLeast"/>
        </w:trPr>
        <w:tc>
          <w:tcPr>
            <w:tcW w:w="645" w:type="dxa"/>
            <w:tcBorders/>
            <w:shd w:color="auto" w:fill="FFFFFF" w:themeFill="background1" w:val="clear"/>
            <w:vAlign w:val="center"/>
          </w:tcPr>
          <w:p>
            <w:pPr>
              <w:pStyle w:val="Normal"/>
              <w:widowControl w:val="false"/>
              <w:jc w:val="center"/>
              <w:rPr/>
            </w:pPr>
            <w:r>
              <w:rPr>
                <w:sz w:val="20"/>
                <w:szCs w:val="20"/>
              </w:rPr>
              <w:t>1.3.</w:t>
            </w:r>
          </w:p>
        </w:tc>
        <w:tc>
          <w:tcPr>
            <w:tcW w:w="1717" w:type="dxa"/>
            <w:tcBorders/>
            <w:shd w:color="auto" w:fill="FFFFFF" w:themeFill="background1" w:val="clear"/>
            <w:vAlign w:val="center"/>
          </w:tcPr>
          <w:p>
            <w:pPr>
              <w:pStyle w:val="Normal"/>
              <w:widowControl w:val="false"/>
              <w:jc w:val="both"/>
              <w:rPr/>
            </w:pPr>
            <w:r>
              <w:rPr>
                <w:sz w:val="20"/>
                <w:szCs w:val="20"/>
              </w:rPr>
              <w:t>Košnja bankina uz nerazvrstanu cestu i zemljišta u vlasništvu općine</w:t>
            </w:r>
          </w:p>
        </w:tc>
        <w:tc>
          <w:tcPr>
            <w:tcW w:w="6301" w:type="dxa"/>
            <w:tcBorders>
              <w:right w:val="nil"/>
            </w:tcBorders>
            <w:shd w:color="auto" w:fill="FFFFFF" w:themeFill="background1" w:val="clear"/>
            <w:vAlign w:val="center"/>
          </w:tcPr>
          <w:p>
            <w:pPr>
              <w:pStyle w:val="Normal"/>
              <w:widowControl w:val="false"/>
              <w:jc w:val="both"/>
              <w:rPr/>
            </w:pPr>
            <w:r>
              <w:rPr>
                <w:rFonts w:cs="Arial"/>
                <w:sz w:val="20"/>
                <w:szCs w:val="20"/>
                <w:lang w:val="hr-BA"/>
              </w:rPr>
              <w:t>Strojno košenje ( malčiranje ) trave, raslinja, živice i grmlja uz rub prometnice na nerazvrstanim  cestama. Košnja (malčiranje javnih i dr. površina u vlasništvu Općine. Košnja se odvija dva puta godišnje ovisno o rastu vegetacije te procjeni mjesnih odbora i komunalnog redara.</w:t>
            </w:r>
          </w:p>
        </w:tc>
        <w:tc>
          <w:tcPr>
            <w:tcW w:w="2099" w:type="dxa"/>
            <w:tcBorders/>
            <w:shd w:color="auto" w:fill="FFFFFF" w:themeFill="background1" w:val="clear"/>
            <w:vAlign w:val="center"/>
          </w:tcPr>
          <w:p>
            <w:pPr>
              <w:pStyle w:val="Normal"/>
              <w:jc w:val="both"/>
              <w:rPr/>
            </w:pPr>
            <w:r>
              <w:rPr>
                <w:sz w:val="20"/>
                <w:szCs w:val="20"/>
              </w:rPr>
              <w:t xml:space="preserve">Proračun Općine = 17.000,00 EUR (43- </w:t>
            </w:r>
            <w:bookmarkStart w:id="0" w:name="__DdeLink__1600_3760088224"/>
            <w:r>
              <w:rPr>
                <w:sz w:val="20"/>
                <w:szCs w:val="20"/>
              </w:rPr>
              <w:t>prihodi za posebne namjene</w:t>
            </w:r>
            <w:bookmarkEnd w:id="0"/>
            <w:r>
              <w:rPr>
                <w:sz w:val="20"/>
                <w:szCs w:val="20"/>
              </w:rPr>
              <w:t>)</w:t>
            </w:r>
          </w:p>
        </w:tc>
        <w:tc>
          <w:tcPr>
            <w:tcW w:w="2214" w:type="dxa"/>
            <w:gridSpan w:val="2"/>
            <w:tcBorders>
              <w:right w:val="nil"/>
            </w:tcBorders>
            <w:shd w:color="auto" w:fill="FFFFFF" w:themeFill="background1" w:val="clear"/>
            <w:vAlign w:val="center"/>
          </w:tcPr>
          <w:p>
            <w:pPr>
              <w:pStyle w:val="Normal"/>
              <w:widowControl w:val="false"/>
              <w:jc w:val="center"/>
              <w:rPr/>
            </w:pPr>
            <w:r>
              <w:rPr>
                <w:sz w:val="20"/>
                <w:szCs w:val="20"/>
              </w:rPr>
              <w:t>17.000,00</w:t>
            </w:r>
          </w:p>
        </w:tc>
        <w:tc>
          <w:tcPr>
            <w:tcW w:w="1823" w:type="dxa"/>
            <w:gridSpan w:val="3"/>
            <w:tcBorders/>
            <w:shd w:color="auto" w:fill="FFFFFF" w:themeFill="background1" w:val="clear"/>
            <w:vAlign w:val="center"/>
          </w:tcPr>
          <w:p>
            <w:pPr>
              <w:pStyle w:val="Normal"/>
              <w:widowControl w:val="false"/>
              <w:jc w:val="center"/>
              <w:rPr/>
            </w:pPr>
            <w:r>
              <w:rPr/>
              <w:t>13.856,10</w:t>
            </w:r>
          </w:p>
        </w:tc>
      </w:tr>
      <w:tr>
        <w:trPr>
          <w:trHeight w:val="340" w:hRule="atLeast"/>
        </w:trPr>
        <w:tc>
          <w:tcPr>
            <w:tcW w:w="645" w:type="dxa"/>
            <w:tcBorders/>
            <w:shd w:color="auto" w:fill="FFFFFF" w:themeFill="background1" w:val="clear"/>
            <w:vAlign w:val="center"/>
          </w:tcPr>
          <w:p>
            <w:pPr>
              <w:pStyle w:val="Normal"/>
              <w:widowControl w:val="false"/>
              <w:jc w:val="center"/>
              <w:rPr/>
            </w:pPr>
            <w:r>
              <w:rPr>
                <w:sz w:val="20"/>
                <w:szCs w:val="20"/>
              </w:rPr>
              <w:t>1.5.</w:t>
            </w:r>
          </w:p>
        </w:tc>
        <w:tc>
          <w:tcPr>
            <w:tcW w:w="1717" w:type="dxa"/>
            <w:tcBorders/>
            <w:shd w:color="auto" w:fill="FFFFFF" w:themeFill="background1" w:val="clear"/>
            <w:vAlign w:val="center"/>
          </w:tcPr>
          <w:p>
            <w:pPr>
              <w:pStyle w:val="Normal"/>
              <w:widowControl w:val="false"/>
              <w:jc w:val="both"/>
              <w:rPr/>
            </w:pPr>
            <w:r>
              <w:rPr>
                <w:sz w:val="20"/>
                <w:szCs w:val="20"/>
              </w:rPr>
              <w:t>Izdaci za zimsku službu</w:t>
            </w:r>
          </w:p>
        </w:tc>
        <w:tc>
          <w:tcPr>
            <w:tcW w:w="6301" w:type="dxa"/>
            <w:tcBorders>
              <w:right w:val="nil"/>
            </w:tcBorders>
            <w:shd w:color="auto" w:fill="FFFFFF" w:themeFill="background1" w:val="clear"/>
            <w:vAlign w:val="center"/>
          </w:tcPr>
          <w:p>
            <w:pPr>
              <w:pStyle w:val="Normal"/>
              <w:widowControl w:val="false"/>
              <w:jc w:val="both"/>
              <w:rPr/>
            </w:pPr>
            <w:r>
              <w:rPr>
                <w:sz w:val="20"/>
                <w:szCs w:val="20"/>
              </w:rPr>
              <w:t xml:space="preserve">Nabava i doprema soli i kamenog agregata, strojno čišćenje snijega na nerazvrstanim cestama, posipavanje mješavinom soli i kamenog agregata sukladno potrebama i vremenskim uvjetima na terenu.  </w:t>
            </w:r>
          </w:p>
        </w:tc>
        <w:tc>
          <w:tcPr>
            <w:tcW w:w="2099" w:type="dxa"/>
            <w:tcBorders/>
            <w:shd w:color="auto" w:fill="FFFFFF" w:themeFill="background1" w:val="clear"/>
            <w:vAlign w:val="center"/>
          </w:tcPr>
          <w:p>
            <w:pPr>
              <w:pStyle w:val="Normal"/>
              <w:jc w:val="both"/>
              <w:rPr/>
            </w:pPr>
            <w:r>
              <w:rPr>
                <w:sz w:val="20"/>
                <w:szCs w:val="20"/>
              </w:rPr>
              <w:t>Proračun Općine = 10.000,00 EUR (43- prihodi za posebne namjene)</w:t>
            </w:r>
          </w:p>
        </w:tc>
        <w:tc>
          <w:tcPr>
            <w:tcW w:w="2214" w:type="dxa"/>
            <w:gridSpan w:val="2"/>
            <w:tcBorders>
              <w:right w:val="nil"/>
            </w:tcBorders>
            <w:shd w:color="auto" w:fill="FFFFFF" w:themeFill="background1" w:val="clear"/>
            <w:vAlign w:val="center"/>
          </w:tcPr>
          <w:p>
            <w:pPr>
              <w:pStyle w:val="Normal"/>
              <w:widowControl w:val="false"/>
              <w:jc w:val="center"/>
              <w:rPr/>
            </w:pPr>
            <w:r>
              <w:rPr>
                <w:sz w:val="20"/>
                <w:szCs w:val="20"/>
              </w:rPr>
              <w:t>10.000,00</w:t>
            </w:r>
          </w:p>
        </w:tc>
        <w:tc>
          <w:tcPr>
            <w:tcW w:w="1823" w:type="dxa"/>
            <w:gridSpan w:val="3"/>
            <w:tcBorders/>
            <w:shd w:color="auto" w:fill="FFFFFF" w:themeFill="background1" w:val="clear"/>
            <w:vAlign w:val="center"/>
          </w:tcPr>
          <w:p>
            <w:pPr>
              <w:pStyle w:val="Normal"/>
              <w:widowControl w:val="false"/>
              <w:jc w:val="center"/>
              <w:rPr/>
            </w:pPr>
            <w:r>
              <w:rPr/>
              <w:t>601,39</w:t>
            </w:r>
          </w:p>
        </w:tc>
      </w:tr>
      <w:tr>
        <w:trPr>
          <w:trHeight w:val="340" w:hRule="atLeast"/>
        </w:trPr>
        <w:tc>
          <w:tcPr>
            <w:tcW w:w="645" w:type="dxa"/>
            <w:tcBorders/>
            <w:shd w:color="auto" w:fill="FFFFFF" w:themeFill="background1" w:val="clear"/>
            <w:vAlign w:val="center"/>
          </w:tcPr>
          <w:p>
            <w:pPr>
              <w:pStyle w:val="Normal"/>
              <w:widowControl w:val="false"/>
              <w:jc w:val="center"/>
              <w:rPr/>
            </w:pPr>
            <w:r>
              <w:rPr>
                <w:sz w:val="20"/>
                <w:szCs w:val="20"/>
              </w:rPr>
              <w:t>1.6.</w:t>
            </w:r>
          </w:p>
        </w:tc>
        <w:tc>
          <w:tcPr>
            <w:tcW w:w="1717" w:type="dxa"/>
            <w:tcBorders/>
            <w:shd w:color="auto" w:fill="FFFFFF" w:themeFill="background1" w:val="clear"/>
            <w:vAlign w:val="center"/>
          </w:tcPr>
          <w:p>
            <w:pPr>
              <w:pStyle w:val="Normal"/>
              <w:widowControl w:val="false"/>
              <w:jc w:val="both"/>
              <w:rPr/>
            </w:pPr>
            <w:r>
              <w:rPr>
                <w:sz w:val="20"/>
                <w:szCs w:val="20"/>
              </w:rPr>
              <w:t>Kameni materijal za ceste</w:t>
            </w:r>
          </w:p>
        </w:tc>
        <w:tc>
          <w:tcPr>
            <w:tcW w:w="6301" w:type="dxa"/>
            <w:tcBorders>
              <w:right w:val="nil"/>
            </w:tcBorders>
            <w:shd w:color="auto" w:fill="FFFFFF" w:themeFill="background1" w:val="clear"/>
            <w:vAlign w:val="center"/>
          </w:tcPr>
          <w:p>
            <w:pPr>
              <w:pStyle w:val="Normal"/>
              <w:widowControl w:val="false"/>
              <w:jc w:val="both"/>
              <w:rPr/>
            </w:pPr>
            <w:r>
              <w:rPr>
                <w:sz w:val="20"/>
                <w:szCs w:val="20"/>
              </w:rPr>
              <w:t xml:space="preserve">Nabava kamenog materijala raspoređuje se prema planovima mjesnih odbora i sukladno potrebama na terenu. </w:t>
            </w:r>
          </w:p>
        </w:tc>
        <w:tc>
          <w:tcPr>
            <w:tcW w:w="2099" w:type="dxa"/>
            <w:tcBorders/>
            <w:shd w:color="auto" w:fill="FFFFFF" w:themeFill="background1" w:val="clear"/>
            <w:vAlign w:val="center"/>
          </w:tcPr>
          <w:p>
            <w:pPr>
              <w:pStyle w:val="Normal"/>
              <w:jc w:val="both"/>
              <w:rPr/>
            </w:pPr>
            <w:r>
              <w:rPr>
                <w:sz w:val="20"/>
                <w:szCs w:val="20"/>
              </w:rPr>
              <w:t>Proračun Općine = 12.000,00 EUR (11- opći prihodi i primici)</w:t>
            </w:r>
          </w:p>
        </w:tc>
        <w:tc>
          <w:tcPr>
            <w:tcW w:w="2214" w:type="dxa"/>
            <w:gridSpan w:val="2"/>
            <w:tcBorders>
              <w:right w:val="nil"/>
            </w:tcBorders>
            <w:shd w:color="auto" w:fill="FFFFFF" w:themeFill="background1" w:val="clear"/>
            <w:vAlign w:val="center"/>
          </w:tcPr>
          <w:p>
            <w:pPr>
              <w:pStyle w:val="Normal"/>
              <w:widowControl w:val="false"/>
              <w:jc w:val="center"/>
              <w:rPr/>
            </w:pPr>
            <w:r>
              <w:rPr>
                <w:sz w:val="20"/>
                <w:szCs w:val="20"/>
              </w:rPr>
              <w:t>12.000,00</w:t>
            </w:r>
          </w:p>
        </w:tc>
        <w:tc>
          <w:tcPr>
            <w:tcW w:w="1823" w:type="dxa"/>
            <w:gridSpan w:val="3"/>
            <w:tcBorders/>
            <w:shd w:color="auto" w:fill="FFFFFF" w:themeFill="background1" w:val="clear"/>
            <w:vAlign w:val="center"/>
          </w:tcPr>
          <w:p>
            <w:pPr>
              <w:pStyle w:val="Normal"/>
              <w:widowControl w:val="false"/>
              <w:jc w:val="center"/>
              <w:rPr/>
            </w:pPr>
            <w:r>
              <w:rPr/>
              <w:t>16.270,05</w:t>
            </w:r>
          </w:p>
        </w:tc>
      </w:tr>
      <w:tr>
        <w:trPr>
          <w:trHeight w:val="340" w:hRule="atLeast"/>
        </w:trPr>
        <w:tc>
          <w:tcPr>
            <w:tcW w:w="645" w:type="dxa"/>
            <w:tcBorders/>
            <w:shd w:color="auto" w:fill="FFFFFF" w:themeFill="background1" w:val="clear"/>
            <w:vAlign w:val="center"/>
          </w:tcPr>
          <w:p>
            <w:pPr>
              <w:pStyle w:val="Normal"/>
              <w:widowControl w:val="false"/>
              <w:jc w:val="center"/>
              <w:rPr/>
            </w:pPr>
            <w:r>
              <w:rPr>
                <w:sz w:val="20"/>
                <w:szCs w:val="20"/>
              </w:rPr>
              <w:t>1.7.</w:t>
            </w:r>
          </w:p>
        </w:tc>
        <w:tc>
          <w:tcPr>
            <w:tcW w:w="1717" w:type="dxa"/>
            <w:tcBorders/>
            <w:shd w:color="auto" w:fill="FFFFFF" w:themeFill="background1" w:val="clear"/>
            <w:vAlign w:val="center"/>
          </w:tcPr>
          <w:p>
            <w:pPr>
              <w:pStyle w:val="Normal"/>
              <w:widowControl w:val="false"/>
              <w:jc w:val="both"/>
              <w:rPr/>
            </w:pPr>
            <w:r>
              <w:rPr>
                <w:sz w:val="20"/>
                <w:szCs w:val="20"/>
              </w:rPr>
              <w:t>Cijevi za ceste i odvodnju</w:t>
            </w:r>
          </w:p>
        </w:tc>
        <w:tc>
          <w:tcPr>
            <w:tcW w:w="6301" w:type="dxa"/>
            <w:tcBorders>
              <w:right w:val="nil"/>
            </w:tcBorders>
            <w:shd w:color="auto" w:fill="FFFFFF" w:themeFill="background1" w:val="clear"/>
            <w:vAlign w:val="center"/>
          </w:tcPr>
          <w:p>
            <w:pPr>
              <w:pStyle w:val="Normal"/>
              <w:widowControl w:val="false"/>
              <w:jc w:val="both"/>
              <w:rPr/>
            </w:pPr>
            <w:r>
              <w:rPr>
                <w:sz w:val="20"/>
                <w:szCs w:val="20"/>
              </w:rPr>
              <w:t>Sukladno planovima mjesnih odbora i potrebama na terenu betonske cijevi, kanalice, rešetke i sl.</w:t>
            </w:r>
          </w:p>
        </w:tc>
        <w:tc>
          <w:tcPr>
            <w:tcW w:w="2099" w:type="dxa"/>
            <w:tcBorders/>
            <w:shd w:color="auto" w:fill="FFFFFF" w:themeFill="background1" w:val="clear"/>
            <w:vAlign w:val="center"/>
          </w:tcPr>
          <w:p>
            <w:pPr>
              <w:pStyle w:val="Normal"/>
              <w:jc w:val="both"/>
              <w:rPr/>
            </w:pPr>
            <w:r>
              <w:rPr>
                <w:sz w:val="20"/>
                <w:szCs w:val="20"/>
              </w:rPr>
              <w:t>Proračun Općine=3.000,00 EUR (11- opći prihodi i primici)</w:t>
            </w:r>
          </w:p>
        </w:tc>
        <w:tc>
          <w:tcPr>
            <w:tcW w:w="2214" w:type="dxa"/>
            <w:gridSpan w:val="2"/>
            <w:tcBorders>
              <w:right w:val="nil"/>
            </w:tcBorders>
            <w:shd w:color="auto" w:fill="FFFFFF" w:themeFill="background1" w:val="clear"/>
            <w:vAlign w:val="center"/>
          </w:tcPr>
          <w:p>
            <w:pPr>
              <w:pStyle w:val="Normal"/>
              <w:widowControl w:val="false"/>
              <w:jc w:val="center"/>
              <w:rPr/>
            </w:pPr>
            <w:r>
              <w:rPr>
                <w:sz w:val="20"/>
                <w:szCs w:val="20"/>
              </w:rPr>
              <w:t>3.000,00</w:t>
            </w:r>
          </w:p>
        </w:tc>
        <w:tc>
          <w:tcPr>
            <w:tcW w:w="1823" w:type="dxa"/>
            <w:gridSpan w:val="3"/>
            <w:tcBorders/>
            <w:shd w:color="auto" w:fill="FFFFFF" w:themeFill="background1" w:val="clear"/>
            <w:vAlign w:val="center"/>
          </w:tcPr>
          <w:p>
            <w:pPr>
              <w:pStyle w:val="Normal"/>
              <w:widowControl w:val="false"/>
              <w:jc w:val="center"/>
              <w:rPr/>
            </w:pPr>
            <w:r>
              <w:rPr/>
              <w:t>718,50</w:t>
            </w:r>
          </w:p>
        </w:tc>
      </w:tr>
      <w:tr>
        <w:trPr>
          <w:trHeight w:val="340" w:hRule="atLeast"/>
        </w:trPr>
        <w:tc>
          <w:tcPr>
            <w:tcW w:w="645" w:type="dxa"/>
            <w:tcBorders/>
            <w:shd w:color="auto" w:fill="FFFFFF" w:themeFill="background1" w:val="clear"/>
            <w:vAlign w:val="center"/>
          </w:tcPr>
          <w:p>
            <w:pPr>
              <w:pStyle w:val="Normal"/>
              <w:widowControl w:val="false"/>
              <w:jc w:val="center"/>
              <w:rPr/>
            </w:pPr>
            <w:r>
              <w:rPr>
                <w:sz w:val="20"/>
                <w:szCs w:val="20"/>
              </w:rPr>
              <w:t>1.8.</w:t>
            </w:r>
          </w:p>
        </w:tc>
        <w:tc>
          <w:tcPr>
            <w:tcW w:w="1717" w:type="dxa"/>
            <w:tcBorders/>
            <w:shd w:color="auto" w:fill="FFFFFF" w:themeFill="background1" w:val="clear"/>
            <w:vAlign w:val="center"/>
          </w:tcPr>
          <w:p>
            <w:pPr>
              <w:pStyle w:val="Normal"/>
              <w:widowControl w:val="false"/>
              <w:jc w:val="both"/>
              <w:rPr/>
            </w:pPr>
            <w:r>
              <w:rPr>
                <w:sz w:val="20"/>
                <w:szCs w:val="20"/>
              </w:rPr>
              <w:t>Prometni znakovi, putokazi i prometna ogledala</w:t>
            </w:r>
          </w:p>
        </w:tc>
        <w:tc>
          <w:tcPr>
            <w:tcW w:w="6301" w:type="dxa"/>
            <w:tcBorders>
              <w:right w:val="nil"/>
            </w:tcBorders>
            <w:shd w:color="auto" w:fill="FFFFFF" w:themeFill="background1" w:val="clear"/>
            <w:vAlign w:val="center"/>
          </w:tcPr>
          <w:p>
            <w:pPr>
              <w:pStyle w:val="Normal"/>
              <w:widowControl w:val="false"/>
              <w:jc w:val="both"/>
              <w:rPr/>
            </w:pPr>
            <w:r>
              <w:rPr>
                <w:sz w:val="20"/>
                <w:szCs w:val="20"/>
              </w:rPr>
              <w:t xml:space="preserve">Sukladno planovima mjesnih odbora i potrebama na terenu (prometni znakovi,putokazi i prometna ogledala). </w:t>
            </w:r>
          </w:p>
        </w:tc>
        <w:tc>
          <w:tcPr>
            <w:tcW w:w="2099" w:type="dxa"/>
            <w:tcBorders/>
            <w:shd w:color="auto" w:fill="FFFFFF" w:themeFill="background1" w:val="clear"/>
            <w:vAlign w:val="center"/>
          </w:tcPr>
          <w:p>
            <w:pPr>
              <w:pStyle w:val="Normal"/>
              <w:jc w:val="both"/>
              <w:rPr/>
            </w:pPr>
            <w:r>
              <w:rPr>
                <w:sz w:val="20"/>
                <w:szCs w:val="20"/>
              </w:rPr>
              <w:t>Proračun Općine=2.000,00 EUR (11- opći prihodi i primici)</w:t>
            </w:r>
          </w:p>
        </w:tc>
        <w:tc>
          <w:tcPr>
            <w:tcW w:w="2214" w:type="dxa"/>
            <w:gridSpan w:val="2"/>
            <w:tcBorders>
              <w:right w:val="nil"/>
            </w:tcBorders>
            <w:shd w:color="auto" w:fill="FFFFFF" w:themeFill="background1" w:val="clear"/>
            <w:vAlign w:val="center"/>
          </w:tcPr>
          <w:p>
            <w:pPr>
              <w:pStyle w:val="Normal"/>
              <w:widowControl w:val="false"/>
              <w:jc w:val="center"/>
              <w:rPr/>
            </w:pPr>
            <w:r>
              <w:rPr>
                <w:sz w:val="20"/>
                <w:szCs w:val="20"/>
              </w:rPr>
              <w:t>2.000,00</w:t>
            </w:r>
          </w:p>
        </w:tc>
        <w:tc>
          <w:tcPr>
            <w:tcW w:w="1823" w:type="dxa"/>
            <w:gridSpan w:val="3"/>
            <w:tcBorders/>
            <w:shd w:color="auto" w:fill="FFFFFF" w:themeFill="background1" w:val="clear"/>
            <w:vAlign w:val="center"/>
          </w:tcPr>
          <w:p>
            <w:pPr>
              <w:pStyle w:val="Normal"/>
              <w:widowControl w:val="false"/>
              <w:jc w:val="center"/>
              <w:rPr/>
            </w:pPr>
            <w:r>
              <w:rPr/>
              <w:t>0,00</w:t>
            </w:r>
          </w:p>
        </w:tc>
      </w:tr>
      <w:tr>
        <w:trPr>
          <w:trHeight w:val="340" w:hRule="atLeast"/>
        </w:trPr>
        <w:tc>
          <w:tcPr>
            <w:tcW w:w="10764" w:type="dxa"/>
            <w:gridSpan w:val="5"/>
            <w:tcBorders>
              <w:right w:val="nil"/>
            </w:tcBorders>
            <w:shd w:color="auto" w:fill="auto" w:val="clear"/>
            <w:vAlign w:val="center"/>
          </w:tcPr>
          <w:p>
            <w:pPr>
              <w:pStyle w:val="Normal"/>
              <w:widowControl w:val="false"/>
              <w:jc w:val="right"/>
              <w:rPr/>
            </w:pPr>
            <w:r>
              <w:rPr>
                <w:b/>
                <w:sz w:val="20"/>
                <w:szCs w:val="20"/>
              </w:rPr>
              <w:t>SVEUKUPNO</w:t>
            </w:r>
          </w:p>
        </w:tc>
        <w:tc>
          <w:tcPr>
            <w:tcW w:w="2215" w:type="dxa"/>
            <w:gridSpan w:val="2"/>
            <w:tcBorders>
              <w:right w:val="nil"/>
            </w:tcBorders>
            <w:shd w:color="auto" w:fill="auto" w:val="clear"/>
            <w:vAlign w:val="center"/>
          </w:tcPr>
          <w:p>
            <w:pPr>
              <w:pStyle w:val="Normal"/>
              <w:widowControl w:val="false"/>
              <w:jc w:val="center"/>
              <w:rPr/>
            </w:pPr>
            <w:r>
              <w:rPr>
                <w:b/>
                <w:sz w:val="20"/>
                <w:szCs w:val="20"/>
              </w:rPr>
              <w:t>74.000,00</w:t>
            </w:r>
          </w:p>
        </w:tc>
        <w:tc>
          <w:tcPr>
            <w:tcW w:w="1820" w:type="dxa"/>
            <w:gridSpan w:val="2"/>
            <w:tcBorders/>
            <w:shd w:color="auto" w:fill="auto" w:val="clear"/>
            <w:vAlign w:val="center"/>
          </w:tcPr>
          <w:p>
            <w:pPr>
              <w:pStyle w:val="Normal"/>
              <w:widowControl w:val="false"/>
              <w:jc w:val="center"/>
              <w:rPr/>
            </w:pPr>
            <w:r>
              <w:rPr/>
              <w:t>52.107,41</w:t>
            </w:r>
          </w:p>
        </w:tc>
      </w:tr>
    </w:tbl>
    <w:p>
      <w:pPr>
        <w:pStyle w:val="Normal"/>
        <w:spacing w:lineRule="auto" w:line="264"/>
        <w:rPr>
          <w:sz w:val="22"/>
          <w:szCs w:val="22"/>
        </w:rPr>
      </w:pPr>
      <w:r>
        <w:rPr>
          <w:sz w:val="22"/>
          <w:szCs w:val="22"/>
        </w:rPr>
      </w:r>
    </w:p>
    <w:p>
      <w:pPr>
        <w:pStyle w:val="Normal"/>
        <w:spacing w:lineRule="auto" w:line="264"/>
        <w:rPr>
          <w:sz w:val="22"/>
          <w:szCs w:val="22"/>
        </w:rPr>
      </w:pPr>
      <w:r>
        <w:rPr>
          <w:sz w:val="22"/>
          <w:szCs w:val="22"/>
        </w:rPr>
      </w:r>
    </w:p>
    <w:p>
      <w:pPr>
        <w:pStyle w:val="Normal"/>
        <w:spacing w:lineRule="auto" w:line="264"/>
        <w:rPr>
          <w:sz w:val="22"/>
          <w:szCs w:val="22"/>
        </w:rPr>
      </w:pPr>
      <w:r>
        <w:rPr>
          <w:sz w:val="22"/>
          <w:szCs w:val="22"/>
        </w:rPr>
      </w:r>
    </w:p>
    <w:p>
      <w:pPr>
        <w:pStyle w:val="Normal"/>
        <w:spacing w:lineRule="auto" w:line="264"/>
        <w:rPr/>
      </w:pPr>
      <w:r>
        <w:rPr>
          <w:b/>
          <w:sz w:val="22"/>
          <w:szCs w:val="22"/>
        </w:rPr>
        <w:t>2. ODRŽAVANJE JAVNIH ZELENIH POVRŠINA I PARKOVA</w:t>
      </w:r>
    </w:p>
    <w:p>
      <w:pPr>
        <w:pStyle w:val="Normal"/>
        <w:spacing w:lineRule="auto" w:line="264"/>
        <w:jc w:val="both"/>
        <w:rPr/>
      </w:pPr>
      <w:r>
        <w:rPr>
          <w:b/>
          <w:sz w:val="22"/>
          <w:szCs w:val="22"/>
        </w:rPr>
        <w:tab/>
      </w:r>
      <w:r>
        <w:rPr>
          <w:sz w:val="22"/>
          <w:szCs w:val="22"/>
        </w:rPr>
        <w:t>Programom održavanja javnih zelenih površina na području Općine Mihovljan za 2025. godinu obuhvaćeni su svi uređeni dijelovi naselja Općine, a u ostalim naseljima uređeni parkovi i dječja igrališta.</w:t>
      </w:r>
    </w:p>
    <w:p>
      <w:pPr>
        <w:pStyle w:val="Normal"/>
        <w:spacing w:lineRule="auto" w:line="264"/>
        <w:jc w:val="both"/>
        <w:rPr>
          <w:sz w:val="22"/>
          <w:szCs w:val="22"/>
        </w:rPr>
      </w:pPr>
      <w:r>
        <w:rPr>
          <w:sz w:val="22"/>
          <w:szCs w:val="22"/>
        </w:rPr>
        <w:tab/>
        <w:t>Pod održavanjem javnih zelenih površina podrazumijeva se košnja, obrezivanje i sakupljanje biološkog otpada s javnih zelenih površina, obnova, održavanje i njega drveća, ukrasnog grmlja i drugog bilja, popločenih i nasipanih površina u parkovima, opreme na dječjim igralištima, fotosanitarna zaštita bilja i biljnog materijala za potrebe održavanja i drugi poslovi potrebni za održavanje tih površina.</w:t>
      </w:r>
    </w:p>
    <w:p>
      <w:pPr>
        <w:pStyle w:val="Normal"/>
        <w:spacing w:lineRule="auto" w:line="264"/>
        <w:jc w:val="both"/>
        <w:rPr/>
      </w:pPr>
      <w:r>
        <w:rPr>
          <w:sz w:val="22"/>
          <w:szCs w:val="22"/>
        </w:rPr>
        <w:tab/>
        <w:t>Održavanje javnih zelenih površina obuhvaća njegu postojećih travnatih površina i uređenje novih, održavanje šljunčanih i popločenih staza. Njegu i sadnju ukrasnog parkovnog bilja (sezonsko cvijeće, trajnice, ruže, živice, grmlje i drveće), utovar, odvoz i deponiranje smeća sakupljenog održavanjem zelenih površina, održavanje parkovne opreme (klupe, košarice za otpatke, zaštitni stupići i klamerice, ukrasne žardinjere i oglasni panoi), redovno održavanje sprava na dječjim igralištima, proljetno čišćenje sipine i pranje dijela gradskih ulica s izrađenom oborinskom kanalizacijom, tzv. malu zimsku službu (čišćenje i uklanjanje snijega i leda na javnim prometnim površinama za kretanje pješaka, javnim parkiralištima i autobusnim stajalištima), prigodna uređenja (zastave, božićne jelke, dekorativna rasvjeta) i održavanje ploča za označavanje ulica.</w:t>
      </w:r>
    </w:p>
    <w:p>
      <w:pPr>
        <w:pStyle w:val="Normal"/>
        <w:spacing w:lineRule="auto" w:line="264"/>
        <w:jc w:val="both"/>
        <w:rPr>
          <w:sz w:val="22"/>
          <w:szCs w:val="22"/>
        </w:rPr>
      </w:pPr>
      <w:r>
        <w:rPr>
          <w:sz w:val="22"/>
          <w:szCs w:val="22"/>
        </w:rPr>
      </w:r>
    </w:p>
    <w:p>
      <w:pPr>
        <w:pStyle w:val="Normal"/>
        <w:spacing w:lineRule="auto" w:line="264"/>
        <w:jc w:val="both"/>
        <w:rPr>
          <w:sz w:val="22"/>
          <w:szCs w:val="22"/>
        </w:rPr>
      </w:pPr>
      <w:r>
        <w:rPr>
          <w:sz w:val="22"/>
          <w:szCs w:val="22"/>
        </w:rPr>
      </w:r>
    </w:p>
    <w:p>
      <w:pPr>
        <w:pStyle w:val="Normal"/>
        <w:spacing w:lineRule="auto" w:line="264"/>
        <w:jc w:val="both"/>
        <w:rPr>
          <w:sz w:val="22"/>
          <w:szCs w:val="22"/>
        </w:rPr>
      </w:pPr>
      <w:r>
        <w:rPr>
          <w:sz w:val="22"/>
          <w:szCs w:val="22"/>
        </w:rPr>
      </w:r>
    </w:p>
    <w:p>
      <w:pPr>
        <w:pStyle w:val="Normal"/>
        <w:spacing w:lineRule="auto" w:line="264"/>
        <w:jc w:val="both"/>
        <w:rPr>
          <w:sz w:val="22"/>
          <w:szCs w:val="22"/>
        </w:rPr>
      </w:pPr>
      <w:r>
        <w:rPr>
          <w:sz w:val="22"/>
          <w:szCs w:val="22"/>
        </w:rPr>
      </w:r>
    </w:p>
    <w:p>
      <w:pPr>
        <w:pStyle w:val="Normal"/>
        <w:spacing w:lineRule="auto" w:line="264"/>
        <w:jc w:val="both"/>
        <w:rPr>
          <w:sz w:val="22"/>
          <w:szCs w:val="22"/>
        </w:rPr>
      </w:pPr>
      <w:r>
        <w:rPr>
          <w:sz w:val="22"/>
          <w:szCs w:val="22"/>
        </w:rPr>
      </w:r>
    </w:p>
    <w:p>
      <w:pPr>
        <w:pStyle w:val="Normal"/>
        <w:spacing w:lineRule="auto" w:line="264"/>
        <w:jc w:val="both"/>
        <w:rPr>
          <w:sz w:val="22"/>
          <w:szCs w:val="22"/>
        </w:rPr>
      </w:pPr>
      <w:r>
        <w:rPr>
          <w:sz w:val="22"/>
          <w:szCs w:val="22"/>
        </w:rPr>
      </w:r>
    </w:p>
    <w:p>
      <w:pPr>
        <w:pStyle w:val="Normal"/>
        <w:spacing w:lineRule="auto" w:line="264"/>
        <w:jc w:val="both"/>
        <w:rPr>
          <w:sz w:val="22"/>
          <w:szCs w:val="22"/>
        </w:rPr>
      </w:pPr>
      <w:r>
        <w:rPr>
          <w:sz w:val="22"/>
          <w:szCs w:val="22"/>
        </w:rPr>
      </w:r>
    </w:p>
    <w:p>
      <w:pPr>
        <w:pStyle w:val="Normal"/>
        <w:spacing w:lineRule="auto" w:line="264"/>
        <w:jc w:val="both"/>
        <w:rPr>
          <w:sz w:val="22"/>
          <w:szCs w:val="22"/>
        </w:rPr>
      </w:pPr>
      <w:r>
        <w:rPr>
          <w:sz w:val="22"/>
          <w:szCs w:val="22"/>
        </w:rPr>
      </w:r>
    </w:p>
    <w:p>
      <w:pPr>
        <w:pStyle w:val="Normal"/>
        <w:spacing w:lineRule="auto" w:line="264"/>
        <w:jc w:val="both"/>
        <w:rPr>
          <w:sz w:val="22"/>
          <w:szCs w:val="22"/>
        </w:rPr>
      </w:pPr>
      <w:r>
        <w:rPr>
          <w:sz w:val="22"/>
          <w:szCs w:val="22"/>
        </w:rPr>
      </w:r>
    </w:p>
    <w:p>
      <w:pPr>
        <w:pStyle w:val="Normal"/>
        <w:spacing w:lineRule="auto" w:line="264"/>
        <w:jc w:val="both"/>
        <w:rPr>
          <w:sz w:val="22"/>
          <w:szCs w:val="22"/>
        </w:rPr>
      </w:pPr>
      <w:r>
        <w:rPr>
          <w:sz w:val="22"/>
          <w:szCs w:val="22"/>
        </w:rPr>
      </w:r>
    </w:p>
    <w:p>
      <w:pPr>
        <w:pStyle w:val="Normal"/>
        <w:spacing w:lineRule="auto" w:line="264"/>
        <w:jc w:val="both"/>
        <w:rPr>
          <w:sz w:val="22"/>
          <w:szCs w:val="22"/>
        </w:rPr>
      </w:pPr>
      <w:r>
        <w:rPr>
          <w:sz w:val="22"/>
          <w:szCs w:val="22"/>
        </w:rPr>
      </w:r>
    </w:p>
    <w:tbl>
      <w:tblPr>
        <w:tblStyle w:val="Reetkatablice"/>
        <w:tblW w:w="14864" w:type="dxa"/>
        <w:jc w:val="left"/>
        <w:tblInd w:w="-7" w:type="dxa"/>
        <w:tblCellMar>
          <w:top w:w="0" w:type="dxa"/>
          <w:left w:w="108" w:type="dxa"/>
          <w:bottom w:w="0" w:type="dxa"/>
          <w:right w:w="108" w:type="dxa"/>
        </w:tblCellMar>
        <w:tblLook w:firstRow="1" w:noVBand="1" w:lastRow="0" w:firstColumn="1" w:lastColumn="0" w:noHBand="0" w:val="04a0"/>
      </w:tblPr>
      <w:tblGrid>
        <w:gridCol w:w="477"/>
        <w:gridCol w:w="1373"/>
        <w:gridCol w:w="6812"/>
        <w:gridCol w:w="2099"/>
        <w:gridCol w:w="3"/>
        <w:gridCol w:w="2212"/>
        <w:gridCol w:w="3"/>
        <w:gridCol w:w="3"/>
        <w:gridCol w:w="1881"/>
      </w:tblGrid>
      <w:tr>
        <w:trPr>
          <w:trHeight w:val="397" w:hRule="atLeast"/>
        </w:trPr>
        <w:tc>
          <w:tcPr>
            <w:tcW w:w="12982" w:type="dxa"/>
            <w:gridSpan w:val="8"/>
            <w:tcBorders>
              <w:right w:val="nil"/>
            </w:tcBorders>
            <w:shd w:color="auto" w:fill="D9D9D9" w:themeFill="background1" w:themeFillShade="d9" w:val="clear"/>
            <w:vAlign w:val="center"/>
          </w:tcPr>
          <w:p>
            <w:pPr>
              <w:pStyle w:val="Normal"/>
              <w:widowControl w:val="false"/>
              <w:spacing w:lineRule="auto" w:line="264"/>
              <w:jc w:val="center"/>
              <w:rPr>
                <w:b/>
                <w:b/>
                <w:sz w:val="22"/>
                <w:szCs w:val="22"/>
              </w:rPr>
            </w:pPr>
            <w:r>
              <w:rPr>
                <w:b/>
                <w:sz w:val="22"/>
                <w:szCs w:val="22"/>
              </w:rPr>
              <w:t>2. ODRŽAVANJE JAVNIH ZELENIH POVRŠINA</w:t>
            </w:r>
          </w:p>
        </w:tc>
        <w:tc>
          <w:tcPr>
            <w:tcW w:w="1881" w:type="dxa"/>
            <w:tcBorders/>
            <w:shd w:color="auto" w:fill="D9D9D9" w:themeFill="background1" w:themeFillShade="d9" w:val="clear"/>
            <w:vAlign w:val="center"/>
          </w:tcPr>
          <w:p>
            <w:pPr>
              <w:pStyle w:val="Normal"/>
              <w:widowControl w:val="false"/>
              <w:spacing w:lineRule="auto" w:line="264"/>
              <w:jc w:val="center"/>
              <w:rPr/>
            </w:pPr>
            <w:r>
              <w:rPr/>
            </w:r>
          </w:p>
        </w:tc>
      </w:tr>
      <w:tr>
        <w:trPr>
          <w:trHeight w:val="397" w:hRule="atLeast"/>
        </w:trPr>
        <w:tc>
          <w:tcPr>
            <w:tcW w:w="477" w:type="dxa"/>
            <w:tcBorders/>
            <w:shd w:color="auto" w:fill="FFFFFF" w:themeFill="background1" w:val="clear"/>
            <w:vAlign w:val="center"/>
          </w:tcPr>
          <w:p>
            <w:pPr>
              <w:pStyle w:val="Normal"/>
              <w:widowControl w:val="false"/>
              <w:jc w:val="center"/>
              <w:rPr/>
            </w:pPr>
            <w:r>
              <w:rPr>
                <w:b/>
                <w:bCs/>
                <w:sz w:val="20"/>
                <w:szCs w:val="20"/>
              </w:rPr>
              <w:t>red.br.</w:t>
            </w:r>
          </w:p>
        </w:tc>
        <w:tc>
          <w:tcPr>
            <w:tcW w:w="1373" w:type="dxa"/>
            <w:tcBorders/>
            <w:shd w:color="auto" w:fill="FFFFFF" w:themeFill="background1" w:val="clear"/>
            <w:vAlign w:val="center"/>
          </w:tcPr>
          <w:p>
            <w:pPr>
              <w:pStyle w:val="Normal"/>
              <w:widowControl w:val="false"/>
              <w:jc w:val="center"/>
              <w:rPr>
                <w:b/>
                <w:b/>
                <w:bCs/>
                <w:sz w:val="18"/>
                <w:szCs w:val="18"/>
              </w:rPr>
            </w:pPr>
            <w:r>
              <w:rPr>
                <w:b/>
                <w:bCs/>
                <w:sz w:val="20"/>
                <w:szCs w:val="20"/>
              </w:rPr>
              <w:t>Opis poslova</w:t>
            </w:r>
          </w:p>
        </w:tc>
        <w:tc>
          <w:tcPr>
            <w:tcW w:w="6812" w:type="dxa"/>
            <w:tcBorders/>
            <w:shd w:color="auto" w:fill="FFFFFF" w:themeFill="background1" w:val="clear"/>
            <w:vAlign w:val="center"/>
          </w:tcPr>
          <w:p>
            <w:pPr>
              <w:pStyle w:val="Normal"/>
              <w:widowControl w:val="false"/>
              <w:jc w:val="center"/>
              <w:rPr>
                <w:b/>
                <w:b/>
                <w:bCs/>
                <w:sz w:val="18"/>
                <w:szCs w:val="18"/>
              </w:rPr>
            </w:pPr>
            <w:r>
              <w:rPr>
                <w:b/>
                <w:bCs/>
                <w:sz w:val="20"/>
                <w:szCs w:val="20"/>
              </w:rPr>
              <w:t>Planirani opseg poslova</w:t>
            </w:r>
          </w:p>
        </w:tc>
        <w:tc>
          <w:tcPr>
            <w:tcW w:w="2099" w:type="dxa"/>
            <w:tcBorders/>
            <w:shd w:color="auto" w:fill="FFFFFF" w:themeFill="background1" w:val="clear"/>
            <w:vAlign w:val="center"/>
          </w:tcPr>
          <w:p>
            <w:pPr>
              <w:pStyle w:val="Normal"/>
              <w:widowControl w:val="false"/>
              <w:jc w:val="center"/>
              <w:rPr>
                <w:b/>
                <w:b/>
                <w:bCs/>
                <w:sz w:val="18"/>
                <w:szCs w:val="18"/>
              </w:rPr>
            </w:pPr>
            <w:r>
              <w:rPr>
                <w:b/>
                <w:bCs/>
                <w:sz w:val="20"/>
                <w:szCs w:val="20"/>
              </w:rPr>
              <w:t>Izvori financiranja</w:t>
            </w:r>
          </w:p>
        </w:tc>
        <w:tc>
          <w:tcPr>
            <w:tcW w:w="2215" w:type="dxa"/>
            <w:gridSpan w:val="2"/>
            <w:tcBorders>
              <w:right w:val="nil"/>
            </w:tcBorders>
            <w:shd w:color="auto" w:fill="FFFFFF" w:themeFill="background1" w:val="clear"/>
            <w:vAlign w:val="center"/>
          </w:tcPr>
          <w:p>
            <w:pPr>
              <w:pStyle w:val="Normal"/>
              <w:widowControl w:val="false"/>
              <w:jc w:val="center"/>
              <w:rPr>
                <w:sz w:val="20"/>
                <w:szCs w:val="20"/>
              </w:rPr>
            </w:pPr>
            <w:r>
              <w:rPr>
                <w:b/>
                <w:bCs/>
                <w:sz w:val="20"/>
                <w:szCs w:val="20"/>
              </w:rPr>
              <w:t>Planirano ukupno (EUR)</w:t>
            </w:r>
          </w:p>
        </w:tc>
        <w:tc>
          <w:tcPr>
            <w:tcW w:w="1887" w:type="dxa"/>
            <w:gridSpan w:val="3"/>
            <w:tcBorders/>
            <w:shd w:color="auto" w:fill="FFFFFF" w:themeFill="background1" w:val="clear"/>
            <w:vAlign w:val="center"/>
          </w:tcPr>
          <w:p>
            <w:pPr>
              <w:pStyle w:val="Normal"/>
              <w:widowControl w:val="false"/>
              <w:jc w:val="center"/>
              <w:rPr>
                <w:b/>
                <w:b/>
                <w:bCs/>
              </w:rPr>
            </w:pPr>
            <w:r>
              <w:rPr>
                <w:b/>
                <w:bCs/>
                <w:sz w:val="22"/>
                <w:szCs w:val="22"/>
              </w:rPr>
              <w:t>Polugodišnje izvješće za razdoblje 01.01.-30.06.2025</w:t>
            </w:r>
          </w:p>
        </w:tc>
      </w:tr>
      <w:tr>
        <w:trPr>
          <w:trHeight w:val="340" w:hRule="atLeast"/>
        </w:trPr>
        <w:tc>
          <w:tcPr>
            <w:tcW w:w="477" w:type="dxa"/>
            <w:tcBorders/>
            <w:shd w:color="auto" w:fill="FFFFFF" w:themeFill="background1" w:val="clear"/>
            <w:vAlign w:val="center"/>
          </w:tcPr>
          <w:p>
            <w:pPr>
              <w:pStyle w:val="Normal"/>
              <w:widowControl w:val="false"/>
              <w:jc w:val="both"/>
              <w:rPr>
                <w:sz w:val="22"/>
                <w:szCs w:val="22"/>
              </w:rPr>
            </w:pPr>
            <w:r>
              <w:rPr>
                <w:sz w:val="20"/>
                <w:szCs w:val="20"/>
              </w:rPr>
              <w:t>2.1.</w:t>
            </w:r>
          </w:p>
        </w:tc>
        <w:tc>
          <w:tcPr>
            <w:tcW w:w="1373" w:type="dxa"/>
            <w:tcBorders/>
            <w:shd w:color="auto" w:fill="FFFFFF" w:themeFill="background1" w:val="clear"/>
            <w:vAlign w:val="center"/>
          </w:tcPr>
          <w:p>
            <w:pPr>
              <w:pStyle w:val="Normal"/>
              <w:widowControl w:val="false"/>
              <w:jc w:val="both"/>
              <w:rPr>
                <w:sz w:val="20"/>
                <w:szCs w:val="20"/>
              </w:rPr>
            </w:pPr>
            <w:r>
              <w:rPr>
                <w:sz w:val="20"/>
                <w:szCs w:val="20"/>
              </w:rPr>
              <w:t>Uređenje odvodnih jaraka (koji nisu u nadležnosti hr voda)</w:t>
            </w:r>
          </w:p>
        </w:tc>
        <w:tc>
          <w:tcPr>
            <w:tcW w:w="6812" w:type="dxa"/>
            <w:tcBorders/>
            <w:shd w:color="auto" w:fill="FFFFFF" w:themeFill="background1" w:val="clear"/>
            <w:vAlign w:val="center"/>
          </w:tcPr>
          <w:p>
            <w:pPr>
              <w:pStyle w:val="Normal"/>
              <w:widowControl w:val="false"/>
              <w:jc w:val="both"/>
              <w:rPr>
                <w:sz w:val="20"/>
                <w:szCs w:val="20"/>
              </w:rPr>
            </w:pPr>
            <w:r>
              <w:rPr>
                <w:sz w:val="20"/>
                <w:szCs w:val="20"/>
              </w:rPr>
              <w:t xml:space="preserve">Strojni iskop odvodnih jaraka. Odvija se na način da mještani predaju zahtjev za uređenje ili iskop odvodnih jaraka. Ukoliko se ocijeni da je zahtjev opravdan, Općina sufinancira 50% vrijednosti radova. </w:t>
            </w:r>
          </w:p>
        </w:tc>
        <w:tc>
          <w:tcPr>
            <w:tcW w:w="2099" w:type="dxa"/>
            <w:tcBorders/>
            <w:shd w:color="auto" w:fill="FFFFFF" w:themeFill="background1" w:val="clear"/>
            <w:vAlign w:val="center"/>
          </w:tcPr>
          <w:p>
            <w:pPr>
              <w:pStyle w:val="NoSpacing"/>
              <w:widowControl w:val="false"/>
              <w:rPr>
                <w:sz w:val="20"/>
                <w:szCs w:val="20"/>
              </w:rPr>
            </w:pPr>
            <w:r>
              <w:rPr>
                <w:rFonts w:cs="Times New Roman" w:ascii="Times New Roman" w:hAnsi="Times New Roman"/>
                <w:sz w:val="20"/>
                <w:szCs w:val="20"/>
              </w:rPr>
              <w:t>Proračun Općine= 1.000,00 EUR</w:t>
            </w:r>
          </w:p>
          <w:p>
            <w:pPr>
              <w:pStyle w:val="NoSpacing"/>
              <w:widowControl w:val="false"/>
              <w:rPr>
                <w:rFonts w:ascii="Times New Roman" w:hAnsi="Times New Roman" w:cs="Times New Roman"/>
                <w:sz w:val="16"/>
                <w:szCs w:val="16"/>
              </w:rPr>
            </w:pPr>
            <w:r>
              <w:rPr>
                <w:rFonts w:cs="Times New Roman" w:ascii="Times New Roman" w:hAnsi="Times New Roman"/>
                <w:sz w:val="20"/>
                <w:szCs w:val="20"/>
              </w:rPr>
              <w:t>(43- prihodi za posebne namjene)</w:t>
            </w:r>
          </w:p>
          <w:p>
            <w:pPr>
              <w:pStyle w:val="NoSpacing"/>
              <w:widowControl w:val="false"/>
              <w:rPr>
                <w:sz w:val="20"/>
                <w:szCs w:val="20"/>
              </w:rPr>
            </w:pPr>
            <w:r>
              <w:rPr>
                <w:rFonts w:cs="Times New Roman" w:ascii="Times New Roman" w:hAnsi="Times New Roman"/>
                <w:sz w:val="20"/>
                <w:szCs w:val="20"/>
              </w:rPr>
              <w:t>Proračun Općine= 1.000,00 EUR</w:t>
            </w:r>
          </w:p>
          <w:p>
            <w:pPr>
              <w:pStyle w:val="NoSpacing"/>
              <w:widowControl w:val="false"/>
              <w:rPr>
                <w:rFonts w:ascii="Times New Roman" w:hAnsi="Times New Roman" w:cs="Times New Roman"/>
                <w:sz w:val="16"/>
                <w:szCs w:val="16"/>
              </w:rPr>
            </w:pPr>
            <w:r>
              <w:rPr>
                <w:rFonts w:cs="Times New Roman" w:ascii="Times New Roman" w:hAnsi="Times New Roman"/>
                <w:sz w:val="20"/>
                <w:szCs w:val="20"/>
              </w:rPr>
              <w:t>(11- opći prihodi i primici)</w:t>
            </w:r>
          </w:p>
        </w:tc>
        <w:tc>
          <w:tcPr>
            <w:tcW w:w="2215" w:type="dxa"/>
            <w:gridSpan w:val="2"/>
            <w:tcBorders>
              <w:right w:val="nil"/>
            </w:tcBorders>
            <w:shd w:color="auto" w:fill="FFFFFF" w:themeFill="background1" w:val="clear"/>
            <w:vAlign w:val="center"/>
          </w:tcPr>
          <w:p>
            <w:pPr>
              <w:pStyle w:val="Normal"/>
              <w:widowControl w:val="false"/>
              <w:jc w:val="center"/>
              <w:rPr>
                <w:sz w:val="20"/>
                <w:szCs w:val="20"/>
              </w:rPr>
            </w:pPr>
            <w:r>
              <w:rPr>
                <w:sz w:val="20"/>
                <w:szCs w:val="20"/>
              </w:rPr>
              <w:t>2.000,00</w:t>
            </w:r>
          </w:p>
        </w:tc>
        <w:tc>
          <w:tcPr>
            <w:tcW w:w="1887" w:type="dxa"/>
            <w:gridSpan w:val="3"/>
            <w:tcBorders/>
            <w:shd w:color="auto" w:fill="FFFFFF" w:themeFill="background1" w:val="clear"/>
            <w:vAlign w:val="center"/>
          </w:tcPr>
          <w:p>
            <w:pPr>
              <w:pStyle w:val="Normal"/>
              <w:widowControl w:val="false"/>
              <w:jc w:val="center"/>
              <w:rPr/>
            </w:pPr>
            <w:r>
              <w:rPr/>
              <w:t>0,00</w:t>
            </w:r>
          </w:p>
        </w:tc>
      </w:tr>
      <w:tr>
        <w:trPr>
          <w:trHeight w:val="340" w:hRule="atLeast"/>
        </w:trPr>
        <w:tc>
          <w:tcPr>
            <w:tcW w:w="477" w:type="dxa"/>
            <w:tcBorders/>
            <w:shd w:color="auto" w:fill="FFFFFF" w:themeFill="background1" w:val="clear"/>
            <w:vAlign w:val="center"/>
          </w:tcPr>
          <w:p>
            <w:pPr>
              <w:pStyle w:val="Normal"/>
              <w:widowControl w:val="false"/>
              <w:jc w:val="both"/>
              <w:rPr>
                <w:sz w:val="22"/>
                <w:szCs w:val="22"/>
              </w:rPr>
            </w:pPr>
            <w:r>
              <w:rPr>
                <w:sz w:val="20"/>
                <w:szCs w:val="20"/>
              </w:rPr>
              <w:t>2.2.</w:t>
            </w:r>
          </w:p>
        </w:tc>
        <w:tc>
          <w:tcPr>
            <w:tcW w:w="1373" w:type="dxa"/>
            <w:tcBorders/>
            <w:shd w:color="auto" w:fill="FFFFFF" w:themeFill="background1" w:val="clear"/>
            <w:vAlign w:val="center"/>
          </w:tcPr>
          <w:p>
            <w:pPr>
              <w:pStyle w:val="Normal"/>
              <w:widowControl w:val="false"/>
              <w:jc w:val="both"/>
              <w:rPr>
                <w:sz w:val="20"/>
                <w:szCs w:val="20"/>
              </w:rPr>
            </w:pPr>
            <w:r>
              <w:rPr>
                <w:sz w:val="20"/>
                <w:szCs w:val="20"/>
              </w:rPr>
              <w:t>Sanacija divljih odlagališta</w:t>
            </w:r>
          </w:p>
        </w:tc>
        <w:tc>
          <w:tcPr>
            <w:tcW w:w="6812" w:type="dxa"/>
            <w:tcBorders/>
            <w:shd w:color="auto" w:fill="FFFFFF" w:themeFill="background1" w:val="clear"/>
            <w:vAlign w:val="center"/>
          </w:tcPr>
          <w:p>
            <w:pPr>
              <w:pStyle w:val="Normal"/>
              <w:widowControl w:val="false"/>
              <w:jc w:val="both"/>
              <w:rPr>
                <w:sz w:val="20"/>
                <w:szCs w:val="20"/>
              </w:rPr>
            </w:pPr>
            <w:r>
              <w:rPr>
                <w:sz w:val="20"/>
                <w:szCs w:val="20"/>
              </w:rPr>
              <w:t xml:space="preserve">Čišćenje i odvoz smeća sa divljih deponija (u trenutku donošenja ovog programa nije bilo aktivnih divljih odlagališta otpada). </w:t>
            </w:r>
          </w:p>
        </w:tc>
        <w:tc>
          <w:tcPr>
            <w:tcW w:w="2099" w:type="dxa"/>
            <w:tcBorders/>
            <w:shd w:color="auto" w:fill="FFFFFF" w:themeFill="background1" w:val="clear"/>
            <w:vAlign w:val="center"/>
          </w:tcPr>
          <w:p>
            <w:pPr>
              <w:pStyle w:val="NoSpacing"/>
              <w:widowControl w:val="false"/>
              <w:rPr>
                <w:sz w:val="20"/>
                <w:szCs w:val="20"/>
              </w:rPr>
            </w:pPr>
            <w:r>
              <w:rPr>
                <w:rFonts w:cs="Times New Roman" w:ascii="Times New Roman" w:hAnsi="Times New Roman"/>
                <w:sz w:val="20"/>
                <w:szCs w:val="20"/>
              </w:rPr>
              <w:t>Proračun Općine=1.500,00 EUR</w:t>
            </w:r>
          </w:p>
          <w:p>
            <w:pPr>
              <w:pStyle w:val="NoSpacing"/>
              <w:widowControl w:val="false"/>
              <w:rPr>
                <w:rFonts w:ascii="Times New Roman" w:hAnsi="Times New Roman" w:cs="Times New Roman"/>
                <w:sz w:val="16"/>
                <w:szCs w:val="16"/>
              </w:rPr>
            </w:pPr>
            <w:r>
              <w:rPr>
                <w:rFonts w:cs="Times New Roman" w:ascii="Times New Roman" w:hAnsi="Times New Roman"/>
                <w:sz w:val="20"/>
                <w:szCs w:val="20"/>
              </w:rPr>
              <w:t>(11- opći prihodi i primici)</w:t>
            </w:r>
          </w:p>
        </w:tc>
        <w:tc>
          <w:tcPr>
            <w:tcW w:w="2215" w:type="dxa"/>
            <w:gridSpan w:val="2"/>
            <w:tcBorders>
              <w:right w:val="nil"/>
            </w:tcBorders>
            <w:shd w:color="auto" w:fill="FFFFFF" w:themeFill="background1" w:val="clear"/>
            <w:vAlign w:val="center"/>
          </w:tcPr>
          <w:p>
            <w:pPr>
              <w:pStyle w:val="Normal"/>
              <w:widowControl w:val="false"/>
              <w:jc w:val="center"/>
              <w:rPr>
                <w:sz w:val="20"/>
                <w:szCs w:val="20"/>
              </w:rPr>
            </w:pPr>
            <w:r>
              <w:rPr>
                <w:sz w:val="20"/>
                <w:szCs w:val="20"/>
              </w:rPr>
              <w:t>1.500,00</w:t>
            </w:r>
          </w:p>
        </w:tc>
        <w:tc>
          <w:tcPr>
            <w:tcW w:w="1887" w:type="dxa"/>
            <w:gridSpan w:val="3"/>
            <w:tcBorders/>
            <w:shd w:color="auto" w:fill="FFFFFF" w:themeFill="background1" w:val="clear"/>
            <w:vAlign w:val="center"/>
          </w:tcPr>
          <w:p>
            <w:pPr>
              <w:pStyle w:val="Normal"/>
              <w:widowControl w:val="false"/>
              <w:jc w:val="center"/>
              <w:rPr/>
            </w:pPr>
            <w:r>
              <w:rPr/>
              <w:t>0,00</w:t>
            </w:r>
          </w:p>
        </w:tc>
      </w:tr>
      <w:tr>
        <w:trPr>
          <w:trHeight w:val="340" w:hRule="atLeast"/>
        </w:trPr>
        <w:tc>
          <w:tcPr>
            <w:tcW w:w="477" w:type="dxa"/>
            <w:tcBorders/>
            <w:shd w:color="auto" w:fill="FFFFFF" w:themeFill="background1" w:val="clear"/>
            <w:vAlign w:val="center"/>
          </w:tcPr>
          <w:p>
            <w:pPr>
              <w:pStyle w:val="Normal"/>
              <w:widowControl w:val="false"/>
              <w:jc w:val="both"/>
              <w:rPr>
                <w:sz w:val="22"/>
                <w:szCs w:val="22"/>
              </w:rPr>
            </w:pPr>
            <w:r>
              <w:rPr>
                <w:sz w:val="20"/>
                <w:szCs w:val="20"/>
              </w:rPr>
              <w:t>2.3.</w:t>
            </w:r>
          </w:p>
        </w:tc>
        <w:tc>
          <w:tcPr>
            <w:tcW w:w="1373" w:type="dxa"/>
            <w:tcBorders/>
            <w:shd w:color="auto" w:fill="FFFFFF" w:themeFill="background1" w:val="clear"/>
            <w:vAlign w:val="center"/>
          </w:tcPr>
          <w:p>
            <w:pPr>
              <w:pStyle w:val="Normal"/>
              <w:widowControl w:val="false"/>
              <w:jc w:val="both"/>
              <w:rPr>
                <w:sz w:val="20"/>
                <w:szCs w:val="20"/>
              </w:rPr>
            </w:pPr>
            <w:r>
              <w:rPr>
                <w:sz w:val="20"/>
                <w:szCs w:val="20"/>
              </w:rPr>
              <w:t>Tekuće uređenje centra Mihovljana</w:t>
            </w:r>
          </w:p>
        </w:tc>
        <w:tc>
          <w:tcPr>
            <w:tcW w:w="6812" w:type="dxa"/>
            <w:tcBorders/>
            <w:shd w:color="auto" w:fill="FFFFFF" w:themeFill="background1" w:val="clear"/>
            <w:vAlign w:val="center"/>
          </w:tcPr>
          <w:p>
            <w:pPr>
              <w:pStyle w:val="Normal"/>
              <w:widowControl w:val="false"/>
              <w:jc w:val="both"/>
              <w:rPr>
                <w:sz w:val="20"/>
                <w:szCs w:val="20"/>
              </w:rPr>
            </w:pPr>
            <w:r>
              <w:rPr>
                <w:sz w:val="20"/>
                <w:szCs w:val="20"/>
              </w:rPr>
              <w:t>Košnja, flaksanje i čišćenje javnih površina u centru Mihovljana (cca. 3000m</w:t>
            </w:r>
            <w:r>
              <w:rPr>
                <w:sz w:val="20"/>
                <w:szCs w:val="20"/>
                <w:vertAlign w:val="superscript"/>
              </w:rPr>
              <w:t>2</w:t>
            </w:r>
            <w:r>
              <w:rPr>
                <w:sz w:val="20"/>
                <w:szCs w:val="20"/>
              </w:rPr>
              <w:t xml:space="preserve">), sadnja cvijeća u cvijetnjaku (k.č.br.1188/9) te ispred kapele sv. Ivana Nepomuka (k.č.br. 1189 i 1190/1), obrezivanje drveća, zalijevanje, prskanje, nabava žardinjera, zemlje, nabava novih u slučaju potrebe i popravak starih klupa, košara za otpad i slično prema procjeni komunalnog redara.  </w:t>
            </w:r>
          </w:p>
        </w:tc>
        <w:tc>
          <w:tcPr>
            <w:tcW w:w="2099" w:type="dxa"/>
            <w:tcBorders/>
            <w:shd w:color="auto" w:fill="FFFFFF" w:themeFill="background1" w:val="clear"/>
            <w:vAlign w:val="center"/>
          </w:tcPr>
          <w:p>
            <w:pPr>
              <w:pStyle w:val="NoSpacing"/>
              <w:widowControl w:val="false"/>
              <w:rPr>
                <w:sz w:val="20"/>
                <w:szCs w:val="20"/>
              </w:rPr>
            </w:pPr>
            <w:r>
              <w:rPr>
                <w:rFonts w:cs="Times New Roman" w:ascii="Times New Roman" w:hAnsi="Times New Roman"/>
                <w:sz w:val="20"/>
                <w:szCs w:val="20"/>
              </w:rPr>
              <w:t>Proračun Općine=5.000,00 EUR</w:t>
            </w:r>
          </w:p>
          <w:p>
            <w:pPr>
              <w:pStyle w:val="NoSpacing"/>
              <w:widowControl w:val="false"/>
              <w:rPr>
                <w:rFonts w:ascii="Times New Roman" w:hAnsi="Times New Roman" w:cs="Times New Roman"/>
                <w:sz w:val="16"/>
                <w:szCs w:val="16"/>
              </w:rPr>
            </w:pPr>
            <w:r>
              <w:rPr>
                <w:rFonts w:cs="Times New Roman" w:ascii="Times New Roman" w:hAnsi="Times New Roman"/>
                <w:sz w:val="20"/>
                <w:szCs w:val="20"/>
              </w:rPr>
              <w:t>(31 -vlastiti prihodi)</w:t>
            </w:r>
          </w:p>
        </w:tc>
        <w:tc>
          <w:tcPr>
            <w:tcW w:w="2215" w:type="dxa"/>
            <w:gridSpan w:val="2"/>
            <w:tcBorders>
              <w:right w:val="nil"/>
            </w:tcBorders>
            <w:shd w:color="auto" w:fill="FFFFFF" w:themeFill="background1" w:val="clear"/>
            <w:vAlign w:val="center"/>
          </w:tcPr>
          <w:p>
            <w:pPr>
              <w:pStyle w:val="Normal"/>
              <w:widowControl w:val="false"/>
              <w:jc w:val="center"/>
              <w:rPr>
                <w:sz w:val="20"/>
                <w:szCs w:val="20"/>
              </w:rPr>
            </w:pPr>
            <w:r>
              <w:rPr>
                <w:sz w:val="20"/>
                <w:szCs w:val="20"/>
              </w:rPr>
              <w:t>5.000,00</w:t>
            </w:r>
          </w:p>
        </w:tc>
        <w:tc>
          <w:tcPr>
            <w:tcW w:w="1887" w:type="dxa"/>
            <w:gridSpan w:val="3"/>
            <w:tcBorders/>
            <w:shd w:color="auto" w:fill="FFFFFF" w:themeFill="background1" w:val="clear"/>
            <w:vAlign w:val="center"/>
          </w:tcPr>
          <w:p>
            <w:pPr>
              <w:pStyle w:val="Normal"/>
              <w:widowControl w:val="false"/>
              <w:jc w:val="center"/>
              <w:rPr/>
            </w:pPr>
            <w:r>
              <w:rPr/>
              <w:t>277.16</w:t>
            </w:r>
          </w:p>
        </w:tc>
      </w:tr>
      <w:tr>
        <w:trPr>
          <w:trHeight w:val="340" w:hRule="atLeast"/>
        </w:trPr>
        <w:tc>
          <w:tcPr>
            <w:tcW w:w="477" w:type="dxa"/>
            <w:tcBorders/>
            <w:shd w:color="auto" w:fill="FFFFFF" w:themeFill="background1" w:val="clear"/>
            <w:vAlign w:val="center"/>
          </w:tcPr>
          <w:p>
            <w:pPr>
              <w:pStyle w:val="Normal"/>
              <w:widowControl w:val="false"/>
              <w:jc w:val="both"/>
              <w:rPr>
                <w:sz w:val="22"/>
                <w:szCs w:val="22"/>
              </w:rPr>
            </w:pPr>
            <w:r>
              <w:rPr>
                <w:sz w:val="20"/>
                <w:szCs w:val="20"/>
              </w:rPr>
              <w:t>2.4.</w:t>
            </w:r>
          </w:p>
        </w:tc>
        <w:tc>
          <w:tcPr>
            <w:tcW w:w="1373" w:type="dxa"/>
            <w:tcBorders/>
            <w:shd w:color="auto" w:fill="FFFFFF" w:themeFill="background1" w:val="clear"/>
            <w:vAlign w:val="center"/>
          </w:tcPr>
          <w:p>
            <w:pPr>
              <w:pStyle w:val="Normal"/>
              <w:widowControl w:val="false"/>
              <w:jc w:val="both"/>
              <w:rPr>
                <w:sz w:val="20"/>
                <w:szCs w:val="20"/>
              </w:rPr>
            </w:pPr>
            <w:r>
              <w:rPr>
                <w:sz w:val="20"/>
                <w:szCs w:val="20"/>
              </w:rPr>
              <w:t>Stari grad – uređenje zemljišta</w:t>
            </w:r>
          </w:p>
        </w:tc>
        <w:tc>
          <w:tcPr>
            <w:tcW w:w="6812" w:type="dxa"/>
            <w:tcBorders/>
            <w:shd w:color="auto" w:fill="FFFFFF" w:themeFill="background1" w:val="clear"/>
            <w:vAlign w:val="center"/>
          </w:tcPr>
          <w:p>
            <w:pPr>
              <w:pStyle w:val="Normal"/>
              <w:widowControl w:val="false"/>
              <w:jc w:val="both"/>
              <w:rPr>
                <w:sz w:val="20"/>
                <w:szCs w:val="20"/>
              </w:rPr>
            </w:pPr>
            <w:r>
              <w:rPr>
                <w:sz w:val="20"/>
                <w:szCs w:val="20"/>
              </w:rPr>
              <w:t xml:space="preserve">Nivelacija terena, iskop kamenih ostataka ruševine i starih panjeva. Košenje, flaksanje terena i slično  </w:t>
            </w:r>
          </w:p>
        </w:tc>
        <w:tc>
          <w:tcPr>
            <w:tcW w:w="2099" w:type="dxa"/>
            <w:tcBorders/>
            <w:shd w:color="auto" w:fill="FFFFFF" w:themeFill="background1" w:val="clear"/>
            <w:vAlign w:val="center"/>
          </w:tcPr>
          <w:p>
            <w:pPr>
              <w:pStyle w:val="NoSpacing"/>
              <w:widowControl w:val="false"/>
              <w:rPr/>
            </w:pPr>
            <w:r>
              <w:rPr>
                <w:rFonts w:cs="Times New Roman" w:ascii="Times New Roman" w:hAnsi="Times New Roman"/>
                <w:sz w:val="20"/>
                <w:szCs w:val="20"/>
              </w:rPr>
              <w:t>Proračun Općine=12.000,00 EUR</w:t>
            </w:r>
          </w:p>
          <w:p>
            <w:pPr>
              <w:pStyle w:val="NoSpacing"/>
              <w:widowControl w:val="false"/>
              <w:rPr>
                <w:rFonts w:ascii="Times New Roman" w:hAnsi="Times New Roman" w:cs="Times New Roman"/>
                <w:sz w:val="16"/>
                <w:szCs w:val="16"/>
              </w:rPr>
            </w:pPr>
            <w:r>
              <w:rPr>
                <w:rFonts w:cs="Times New Roman" w:ascii="Times New Roman" w:hAnsi="Times New Roman"/>
                <w:sz w:val="20"/>
                <w:szCs w:val="20"/>
              </w:rPr>
              <w:t>(11- opći prihodi i primici)</w:t>
            </w:r>
          </w:p>
        </w:tc>
        <w:tc>
          <w:tcPr>
            <w:tcW w:w="2215" w:type="dxa"/>
            <w:gridSpan w:val="2"/>
            <w:tcBorders>
              <w:right w:val="nil"/>
            </w:tcBorders>
            <w:shd w:color="auto" w:fill="FFFFFF" w:themeFill="background1" w:val="clear"/>
            <w:vAlign w:val="center"/>
          </w:tcPr>
          <w:p>
            <w:pPr>
              <w:pStyle w:val="Normal"/>
              <w:widowControl w:val="false"/>
              <w:jc w:val="center"/>
              <w:rPr/>
            </w:pPr>
            <w:r>
              <w:rPr>
                <w:sz w:val="20"/>
                <w:szCs w:val="20"/>
              </w:rPr>
              <w:t>12.000,00</w:t>
            </w:r>
          </w:p>
        </w:tc>
        <w:tc>
          <w:tcPr>
            <w:tcW w:w="1887" w:type="dxa"/>
            <w:gridSpan w:val="3"/>
            <w:tcBorders/>
            <w:shd w:color="auto" w:fill="FFFFFF" w:themeFill="background1" w:val="clear"/>
            <w:vAlign w:val="center"/>
          </w:tcPr>
          <w:p>
            <w:pPr>
              <w:pStyle w:val="Normal"/>
              <w:widowControl w:val="false"/>
              <w:jc w:val="center"/>
              <w:rPr/>
            </w:pPr>
            <w:r>
              <w:rPr/>
              <w:t>11.852,28</w:t>
            </w:r>
          </w:p>
        </w:tc>
      </w:tr>
      <w:tr>
        <w:trPr>
          <w:trHeight w:val="340" w:hRule="atLeast"/>
        </w:trPr>
        <w:tc>
          <w:tcPr>
            <w:tcW w:w="477" w:type="dxa"/>
            <w:tcBorders>
              <w:top w:val="nil"/>
            </w:tcBorders>
            <w:shd w:color="auto" w:fill="FFFFFF" w:themeFill="background1" w:val="clear"/>
            <w:vAlign w:val="center"/>
          </w:tcPr>
          <w:p>
            <w:pPr>
              <w:pStyle w:val="Normal"/>
              <w:widowControl w:val="false"/>
              <w:jc w:val="both"/>
              <w:rPr>
                <w:sz w:val="22"/>
                <w:szCs w:val="22"/>
              </w:rPr>
            </w:pPr>
            <w:r>
              <w:rPr>
                <w:sz w:val="20"/>
                <w:szCs w:val="20"/>
              </w:rPr>
              <w:t>2.5.</w:t>
            </w:r>
          </w:p>
        </w:tc>
        <w:tc>
          <w:tcPr>
            <w:tcW w:w="1373" w:type="dxa"/>
            <w:tcBorders>
              <w:top w:val="nil"/>
            </w:tcBorders>
            <w:shd w:color="auto" w:fill="FFFFFF" w:themeFill="background1" w:val="clear"/>
            <w:vAlign w:val="center"/>
          </w:tcPr>
          <w:p>
            <w:pPr>
              <w:pStyle w:val="Normal"/>
              <w:widowControl w:val="false"/>
              <w:jc w:val="both"/>
              <w:rPr>
                <w:sz w:val="20"/>
                <w:szCs w:val="20"/>
              </w:rPr>
            </w:pPr>
            <w:r>
              <w:rPr>
                <w:sz w:val="20"/>
                <w:szCs w:val="20"/>
              </w:rPr>
              <w:t>Centar – uređenje zelene površine (kraj šetnice)</w:t>
            </w:r>
          </w:p>
        </w:tc>
        <w:tc>
          <w:tcPr>
            <w:tcW w:w="6812" w:type="dxa"/>
            <w:tcBorders>
              <w:right w:val="nil"/>
            </w:tcBorders>
            <w:shd w:color="auto" w:fill="FFFFFF" w:themeFill="background1" w:val="clear"/>
            <w:vAlign w:val="center"/>
          </w:tcPr>
          <w:p>
            <w:pPr>
              <w:pStyle w:val="Normal"/>
              <w:widowControl w:val="false"/>
              <w:jc w:val="both"/>
              <w:rPr>
                <w:sz w:val="20"/>
                <w:szCs w:val="20"/>
              </w:rPr>
            </w:pPr>
            <w:r>
              <w:rPr>
                <w:sz w:val="20"/>
                <w:szCs w:val="20"/>
              </w:rPr>
              <w:t>Uređenje zelene površine, dovoz zemlje, sijanje trave, dobava i sadnja bilja/cvijeća, vanjsko vizualno uređenje centra i prostora pored šetnice.</w:t>
            </w:r>
          </w:p>
        </w:tc>
        <w:tc>
          <w:tcPr>
            <w:tcW w:w="2099" w:type="dxa"/>
            <w:tcBorders>
              <w:right w:val="nil"/>
            </w:tcBorders>
            <w:shd w:color="auto" w:fill="FFFFFF" w:themeFill="background1" w:val="clear"/>
            <w:vAlign w:val="center"/>
          </w:tcPr>
          <w:p>
            <w:pPr>
              <w:pStyle w:val="NoSpacing"/>
              <w:widowControl w:val="false"/>
              <w:rPr>
                <w:sz w:val="20"/>
                <w:szCs w:val="20"/>
              </w:rPr>
            </w:pPr>
            <w:r>
              <w:rPr>
                <w:rFonts w:cs="Times New Roman" w:ascii="Times New Roman" w:hAnsi="Times New Roman"/>
                <w:sz w:val="20"/>
                <w:szCs w:val="20"/>
              </w:rPr>
              <w:t>Proračun Općine=6.000,00 EUR</w:t>
            </w:r>
          </w:p>
          <w:p>
            <w:pPr>
              <w:pStyle w:val="NoSpacing"/>
              <w:widowControl w:val="false"/>
              <w:rPr>
                <w:rFonts w:ascii="Times New Roman" w:hAnsi="Times New Roman" w:cs="Times New Roman"/>
                <w:sz w:val="16"/>
                <w:szCs w:val="16"/>
              </w:rPr>
            </w:pPr>
            <w:r>
              <w:rPr>
                <w:rFonts w:cs="Times New Roman" w:ascii="Times New Roman" w:hAnsi="Times New Roman"/>
                <w:sz w:val="20"/>
                <w:szCs w:val="20"/>
              </w:rPr>
              <w:t>(11- opći prihodi i primici)</w:t>
            </w:r>
          </w:p>
        </w:tc>
        <w:tc>
          <w:tcPr>
            <w:tcW w:w="2215" w:type="dxa"/>
            <w:gridSpan w:val="2"/>
            <w:tcBorders>
              <w:right w:val="nil"/>
            </w:tcBorders>
            <w:shd w:color="auto" w:fill="FFFFFF" w:themeFill="background1" w:val="clear"/>
            <w:vAlign w:val="center"/>
          </w:tcPr>
          <w:p>
            <w:pPr>
              <w:pStyle w:val="Normal"/>
              <w:widowControl w:val="false"/>
              <w:jc w:val="center"/>
              <w:rPr>
                <w:sz w:val="20"/>
                <w:szCs w:val="20"/>
              </w:rPr>
            </w:pPr>
            <w:r>
              <w:rPr>
                <w:sz w:val="20"/>
                <w:szCs w:val="20"/>
              </w:rPr>
              <w:t>6.000,00</w:t>
            </w:r>
          </w:p>
        </w:tc>
        <w:tc>
          <w:tcPr>
            <w:tcW w:w="1887" w:type="dxa"/>
            <w:gridSpan w:val="3"/>
            <w:tcBorders/>
            <w:shd w:color="auto" w:fill="FFFFFF" w:themeFill="background1" w:val="clear"/>
            <w:vAlign w:val="center"/>
          </w:tcPr>
          <w:p>
            <w:pPr>
              <w:pStyle w:val="Normal"/>
              <w:widowControl w:val="false"/>
              <w:jc w:val="center"/>
              <w:rPr/>
            </w:pPr>
            <w:r>
              <w:rPr/>
              <w:t>0,00</w:t>
            </w:r>
          </w:p>
        </w:tc>
      </w:tr>
      <w:tr>
        <w:trPr>
          <w:trHeight w:val="340" w:hRule="atLeast"/>
        </w:trPr>
        <w:tc>
          <w:tcPr>
            <w:tcW w:w="477" w:type="dxa"/>
            <w:tcBorders>
              <w:top w:val="nil"/>
            </w:tcBorders>
            <w:shd w:color="auto" w:fill="FFFFFF" w:themeFill="background1" w:val="clear"/>
            <w:vAlign w:val="center"/>
          </w:tcPr>
          <w:p>
            <w:pPr>
              <w:pStyle w:val="Normal"/>
              <w:widowControl w:val="false"/>
              <w:jc w:val="both"/>
              <w:rPr>
                <w:sz w:val="22"/>
                <w:szCs w:val="22"/>
              </w:rPr>
            </w:pPr>
            <w:r>
              <w:rPr>
                <w:sz w:val="20"/>
                <w:szCs w:val="20"/>
              </w:rPr>
              <w:t>2.6.</w:t>
            </w:r>
          </w:p>
        </w:tc>
        <w:tc>
          <w:tcPr>
            <w:tcW w:w="1373" w:type="dxa"/>
            <w:tcBorders>
              <w:top w:val="nil"/>
            </w:tcBorders>
            <w:shd w:color="auto" w:fill="FFFFFF" w:themeFill="background1" w:val="clear"/>
            <w:vAlign w:val="center"/>
          </w:tcPr>
          <w:p>
            <w:pPr>
              <w:pStyle w:val="Normal"/>
              <w:widowControl w:val="false"/>
              <w:jc w:val="both"/>
              <w:rPr>
                <w:sz w:val="20"/>
                <w:szCs w:val="20"/>
              </w:rPr>
            </w:pPr>
            <w:r>
              <w:rPr>
                <w:sz w:val="20"/>
                <w:szCs w:val="20"/>
              </w:rPr>
              <w:t>Održavanje javnih površina</w:t>
            </w:r>
          </w:p>
        </w:tc>
        <w:tc>
          <w:tcPr>
            <w:tcW w:w="6812" w:type="dxa"/>
            <w:tcBorders>
              <w:top w:val="nil"/>
              <w:right w:val="nil"/>
            </w:tcBorders>
            <w:shd w:color="auto" w:fill="FFFFFF" w:themeFill="background1" w:val="clear"/>
            <w:vAlign w:val="center"/>
          </w:tcPr>
          <w:p>
            <w:pPr>
              <w:pStyle w:val="Normal"/>
              <w:widowControl w:val="false"/>
              <w:jc w:val="both"/>
              <w:rPr>
                <w:sz w:val="20"/>
                <w:szCs w:val="20"/>
              </w:rPr>
            </w:pPr>
            <w:r>
              <w:rPr>
                <w:sz w:val="20"/>
                <w:szCs w:val="20"/>
              </w:rPr>
              <w:t>Uređenje zelene površine, dovoz zemlje,sijanje trave, sadnja drveća i bilja/cvijeća, košnja, flaksanje, sakupljanje smeća i održavanje čistoće i sl.</w:t>
            </w:r>
          </w:p>
        </w:tc>
        <w:tc>
          <w:tcPr>
            <w:tcW w:w="2099" w:type="dxa"/>
            <w:tcBorders>
              <w:top w:val="nil"/>
              <w:right w:val="nil"/>
            </w:tcBorders>
            <w:shd w:color="auto" w:fill="FFFFFF" w:themeFill="background1" w:val="clear"/>
            <w:vAlign w:val="center"/>
          </w:tcPr>
          <w:p>
            <w:pPr>
              <w:pStyle w:val="NoSpacing"/>
              <w:widowControl w:val="false"/>
              <w:rPr>
                <w:sz w:val="20"/>
                <w:szCs w:val="20"/>
              </w:rPr>
            </w:pPr>
            <w:r>
              <w:rPr>
                <w:rFonts w:cs="Times New Roman" w:ascii="Times New Roman" w:hAnsi="Times New Roman"/>
                <w:sz w:val="20"/>
                <w:szCs w:val="20"/>
              </w:rPr>
              <w:t>Proračun Općine=8.000,00 EUR</w:t>
            </w:r>
          </w:p>
          <w:p>
            <w:pPr>
              <w:pStyle w:val="NoSpacing"/>
              <w:widowControl w:val="false"/>
              <w:rPr>
                <w:sz w:val="20"/>
                <w:szCs w:val="20"/>
              </w:rPr>
            </w:pPr>
            <w:r>
              <w:rPr>
                <w:rFonts w:cs="Times New Roman" w:ascii="Times New Roman" w:hAnsi="Times New Roman"/>
                <w:sz w:val="20"/>
                <w:szCs w:val="20"/>
              </w:rPr>
              <w:t>(11- opći prihodi i primici)</w:t>
            </w:r>
          </w:p>
        </w:tc>
        <w:tc>
          <w:tcPr>
            <w:tcW w:w="2215" w:type="dxa"/>
            <w:gridSpan w:val="2"/>
            <w:tcBorders>
              <w:top w:val="nil"/>
              <w:right w:val="nil"/>
            </w:tcBorders>
            <w:shd w:color="auto" w:fill="FFFFFF" w:themeFill="background1" w:val="clear"/>
            <w:vAlign w:val="center"/>
          </w:tcPr>
          <w:p>
            <w:pPr>
              <w:pStyle w:val="Normal"/>
              <w:widowControl w:val="false"/>
              <w:jc w:val="center"/>
              <w:rPr>
                <w:sz w:val="20"/>
                <w:szCs w:val="20"/>
              </w:rPr>
            </w:pPr>
            <w:r>
              <w:rPr>
                <w:sz w:val="20"/>
                <w:szCs w:val="20"/>
              </w:rPr>
              <w:t>8.000,00</w:t>
            </w:r>
          </w:p>
        </w:tc>
        <w:tc>
          <w:tcPr>
            <w:tcW w:w="1887" w:type="dxa"/>
            <w:gridSpan w:val="3"/>
            <w:tcBorders>
              <w:top w:val="nil"/>
            </w:tcBorders>
            <w:shd w:color="auto" w:fill="FFFFFF" w:themeFill="background1" w:val="clear"/>
            <w:vAlign w:val="center"/>
          </w:tcPr>
          <w:p>
            <w:pPr>
              <w:pStyle w:val="Normal"/>
              <w:widowControl w:val="false"/>
              <w:jc w:val="center"/>
              <w:rPr/>
            </w:pPr>
            <w:r>
              <w:rPr/>
              <w:t>702,61</w:t>
            </w:r>
          </w:p>
        </w:tc>
      </w:tr>
      <w:tr>
        <w:trPr>
          <w:trHeight w:val="340" w:hRule="atLeast"/>
        </w:trPr>
        <w:tc>
          <w:tcPr>
            <w:tcW w:w="10764" w:type="dxa"/>
            <w:gridSpan w:val="5"/>
            <w:tcBorders>
              <w:right w:val="nil"/>
            </w:tcBorders>
            <w:shd w:color="auto" w:fill="auto" w:val="clear"/>
            <w:vAlign w:val="center"/>
          </w:tcPr>
          <w:p>
            <w:pPr>
              <w:pStyle w:val="Normal"/>
              <w:widowControl w:val="false"/>
              <w:jc w:val="right"/>
              <w:rPr>
                <w:sz w:val="20"/>
                <w:szCs w:val="20"/>
              </w:rPr>
            </w:pPr>
            <w:r>
              <w:rPr>
                <w:b/>
                <w:sz w:val="20"/>
                <w:szCs w:val="20"/>
              </w:rPr>
              <w:t>SVEUKUPNO:</w:t>
            </w:r>
          </w:p>
        </w:tc>
        <w:tc>
          <w:tcPr>
            <w:tcW w:w="2215" w:type="dxa"/>
            <w:gridSpan w:val="2"/>
            <w:tcBorders>
              <w:top w:val="nil"/>
              <w:right w:val="nil"/>
            </w:tcBorders>
            <w:shd w:color="auto" w:fill="auto" w:val="clear"/>
            <w:vAlign w:val="center"/>
          </w:tcPr>
          <w:p>
            <w:pPr>
              <w:pStyle w:val="Normal"/>
              <w:widowControl w:val="false"/>
              <w:jc w:val="center"/>
              <w:rPr>
                <w:sz w:val="20"/>
                <w:szCs w:val="20"/>
              </w:rPr>
            </w:pPr>
            <w:r>
              <w:rPr>
                <w:b/>
                <w:bCs/>
                <w:sz w:val="20"/>
                <w:szCs w:val="20"/>
              </w:rPr>
              <w:t>30.500,00</w:t>
            </w:r>
          </w:p>
        </w:tc>
        <w:tc>
          <w:tcPr>
            <w:tcW w:w="1884" w:type="dxa"/>
            <w:gridSpan w:val="2"/>
            <w:tcBorders>
              <w:top w:val="nil"/>
            </w:tcBorders>
            <w:shd w:color="auto" w:fill="auto" w:val="clear"/>
            <w:vAlign w:val="center"/>
          </w:tcPr>
          <w:p>
            <w:pPr>
              <w:pStyle w:val="Normal"/>
              <w:widowControl w:val="false"/>
              <w:jc w:val="center"/>
              <w:rPr>
                <w:b/>
                <w:b/>
                <w:bCs/>
                <w:sz w:val="20"/>
                <w:szCs w:val="20"/>
              </w:rPr>
            </w:pPr>
            <w:r>
              <w:rPr>
                <w:b/>
                <w:bCs/>
                <w:sz w:val="20"/>
                <w:szCs w:val="20"/>
              </w:rPr>
              <w:t>12.832,05</w:t>
            </w:r>
          </w:p>
        </w:tc>
      </w:tr>
    </w:tbl>
    <w:p>
      <w:pPr>
        <w:pStyle w:val="Normal"/>
        <w:spacing w:lineRule="auto" w:line="264"/>
        <w:rPr>
          <w:b/>
          <w:b/>
          <w:sz w:val="22"/>
          <w:szCs w:val="22"/>
        </w:rPr>
      </w:pPr>
      <w:r>
        <w:rPr>
          <w:b/>
          <w:sz w:val="22"/>
          <w:szCs w:val="22"/>
        </w:rPr>
      </w:r>
    </w:p>
    <w:p>
      <w:pPr>
        <w:pStyle w:val="Normal"/>
        <w:spacing w:lineRule="auto" w:line="264"/>
        <w:rPr>
          <w:b/>
          <w:b/>
          <w:sz w:val="22"/>
          <w:szCs w:val="22"/>
        </w:rPr>
      </w:pPr>
      <w:r>
        <w:rPr>
          <w:b/>
          <w:sz w:val="22"/>
          <w:szCs w:val="22"/>
        </w:rPr>
      </w:r>
    </w:p>
    <w:p>
      <w:pPr>
        <w:pStyle w:val="Normal"/>
        <w:spacing w:lineRule="auto" w:line="264"/>
        <w:rPr>
          <w:b/>
          <w:b/>
          <w:sz w:val="22"/>
          <w:szCs w:val="22"/>
        </w:rPr>
      </w:pPr>
      <w:r>
        <w:rPr>
          <w:b/>
          <w:sz w:val="22"/>
          <w:szCs w:val="22"/>
        </w:rPr>
      </w:r>
    </w:p>
    <w:p>
      <w:pPr>
        <w:pStyle w:val="Normal"/>
        <w:spacing w:lineRule="auto" w:line="264"/>
        <w:rPr>
          <w:b/>
          <w:b/>
          <w:sz w:val="22"/>
          <w:szCs w:val="22"/>
        </w:rPr>
      </w:pPr>
      <w:r>
        <w:rPr>
          <w:b/>
          <w:sz w:val="22"/>
          <w:szCs w:val="22"/>
        </w:rPr>
      </w:r>
    </w:p>
    <w:p>
      <w:pPr>
        <w:pStyle w:val="Normal"/>
        <w:spacing w:lineRule="auto" w:line="264"/>
        <w:rPr>
          <w:b/>
          <w:b/>
          <w:sz w:val="22"/>
          <w:szCs w:val="22"/>
        </w:rPr>
      </w:pPr>
      <w:r>
        <w:rPr>
          <w:b/>
          <w:sz w:val="22"/>
          <w:szCs w:val="22"/>
        </w:rPr>
      </w:r>
    </w:p>
    <w:p>
      <w:pPr>
        <w:pStyle w:val="Normal"/>
        <w:spacing w:lineRule="auto" w:line="264"/>
        <w:rPr>
          <w:b/>
          <w:b/>
          <w:sz w:val="22"/>
          <w:szCs w:val="22"/>
        </w:rPr>
      </w:pPr>
      <w:r>
        <w:rPr>
          <w:b/>
          <w:sz w:val="22"/>
          <w:szCs w:val="22"/>
        </w:rPr>
      </w:r>
    </w:p>
    <w:p>
      <w:pPr>
        <w:pStyle w:val="Normal"/>
        <w:spacing w:lineRule="auto" w:line="264"/>
        <w:rPr>
          <w:b/>
          <w:b/>
          <w:sz w:val="22"/>
          <w:szCs w:val="22"/>
        </w:rPr>
      </w:pPr>
      <w:r>
        <w:rPr>
          <w:b/>
          <w:sz w:val="22"/>
          <w:szCs w:val="22"/>
        </w:rPr>
      </w:r>
    </w:p>
    <w:p>
      <w:pPr>
        <w:pStyle w:val="Normal"/>
        <w:spacing w:lineRule="auto" w:line="264"/>
        <w:rPr/>
      </w:pPr>
      <w:r>
        <w:rPr>
          <w:b/>
          <w:sz w:val="22"/>
          <w:szCs w:val="22"/>
        </w:rPr>
        <w:t>3. ODRŽAVANJE GROBLJA</w:t>
      </w:r>
    </w:p>
    <w:p>
      <w:pPr>
        <w:pStyle w:val="Normal"/>
        <w:spacing w:lineRule="auto" w:line="264"/>
        <w:rPr>
          <w:sz w:val="22"/>
          <w:szCs w:val="22"/>
        </w:rPr>
      </w:pPr>
      <w:r>
        <w:rPr>
          <w:sz w:val="22"/>
          <w:szCs w:val="22"/>
        </w:rPr>
        <w:tab/>
        <w:t>Pod održavanjem groblja podrazumijeva se održavanje prostora i zgrada za obavljanje ispraćaja i ukopa pokojnika te uređivanje putova, zelenih i drugih površina unutar groblja.</w:t>
      </w:r>
    </w:p>
    <w:p>
      <w:pPr>
        <w:pStyle w:val="Normal"/>
        <w:spacing w:lineRule="auto" w:line="264"/>
        <w:rPr>
          <w:sz w:val="22"/>
          <w:szCs w:val="22"/>
        </w:rPr>
      </w:pPr>
      <w:r>
        <w:rPr>
          <w:sz w:val="22"/>
          <w:szCs w:val="22"/>
        </w:rPr>
      </w:r>
    </w:p>
    <w:tbl>
      <w:tblPr>
        <w:tblStyle w:val="Reetkatablice"/>
        <w:tblW w:w="14864" w:type="dxa"/>
        <w:jc w:val="left"/>
        <w:tblInd w:w="-20" w:type="dxa"/>
        <w:tblCellMar>
          <w:top w:w="0" w:type="dxa"/>
          <w:left w:w="108" w:type="dxa"/>
          <w:bottom w:w="0" w:type="dxa"/>
          <w:right w:w="108" w:type="dxa"/>
        </w:tblCellMar>
        <w:tblLook w:firstRow="1" w:noVBand="1" w:lastRow="0" w:firstColumn="1" w:lastColumn="0" w:noHBand="0" w:val="04a0"/>
      </w:tblPr>
      <w:tblGrid>
        <w:gridCol w:w="572"/>
        <w:gridCol w:w="1291"/>
        <w:gridCol w:w="7718"/>
        <w:gridCol w:w="2149"/>
        <w:gridCol w:w="3"/>
        <w:gridCol w:w="1292"/>
        <w:gridCol w:w="6"/>
        <w:gridCol w:w="1832"/>
      </w:tblGrid>
      <w:tr>
        <w:trPr>
          <w:trHeight w:val="397" w:hRule="atLeast"/>
        </w:trPr>
        <w:tc>
          <w:tcPr>
            <w:tcW w:w="13031" w:type="dxa"/>
            <w:gridSpan w:val="7"/>
            <w:tcBorders>
              <w:right w:val="nil"/>
            </w:tcBorders>
            <w:shd w:color="auto" w:fill="D9D9D9" w:themeFill="background1" w:themeFillShade="d9" w:val="clear"/>
            <w:vAlign w:val="center"/>
          </w:tcPr>
          <w:p>
            <w:pPr>
              <w:pStyle w:val="Normal"/>
              <w:widowControl w:val="false"/>
              <w:spacing w:lineRule="auto" w:line="264"/>
              <w:jc w:val="center"/>
              <w:rPr>
                <w:b/>
                <w:b/>
                <w:sz w:val="22"/>
                <w:szCs w:val="22"/>
              </w:rPr>
            </w:pPr>
            <w:r>
              <w:rPr>
                <w:b/>
                <w:sz w:val="22"/>
                <w:szCs w:val="22"/>
              </w:rPr>
              <w:t>3. ODRŽAVANJE GROBLJA</w:t>
            </w:r>
          </w:p>
        </w:tc>
        <w:tc>
          <w:tcPr>
            <w:tcW w:w="1832" w:type="dxa"/>
            <w:tcBorders/>
            <w:shd w:color="auto" w:fill="D9D9D9" w:themeFill="background1" w:themeFillShade="d9" w:val="clear"/>
            <w:vAlign w:val="center"/>
          </w:tcPr>
          <w:p>
            <w:pPr>
              <w:pStyle w:val="Normal"/>
              <w:widowControl w:val="false"/>
              <w:spacing w:lineRule="auto" w:line="264"/>
              <w:jc w:val="center"/>
              <w:rPr/>
            </w:pPr>
            <w:r>
              <w:rPr/>
            </w:r>
          </w:p>
        </w:tc>
      </w:tr>
      <w:tr>
        <w:trPr>
          <w:trHeight w:val="397" w:hRule="atLeast"/>
        </w:trPr>
        <w:tc>
          <w:tcPr>
            <w:tcW w:w="572" w:type="dxa"/>
            <w:tcBorders/>
            <w:shd w:color="auto" w:fill="FFFFFF" w:themeFill="background1" w:val="clear"/>
            <w:vAlign w:val="center"/>
          </w:tcPr>
          <w:p>
            <w:pPr>
              <w:pStyle w:val="Normal"/>
              <w:widowControl w:val="false"/>
              <w:jc w:val="center"/>
              <w:rPr>
                <w:b/>
                <w:b/>
                <w:bCs/>
                <w:sz w:val="20"/>
                <w:szCs w:val="20"/>
              </w:rPr>
            </w:pPr>
            <w:r>
              <w:rPr>
                <w:b/>
                <w:bCs/>
                <w:sz w:val="20"/>
                <w:szCs w:val="20"/>
              </w:rPr>
              <w:t>red.br</w:t>
            </w:r>
          </w:p>
        </w:tc>
        <w:tc>
          <w:tcPr>
            <w:tcW w:w="1291" w:type="dxa"/>
            <w:tcBorders/>
            <w:shd w:color="auto" w:fill="FFFFFF" w:themeFill="background1" w:val="clear"/>
            <w:vAlign w:val="center"/>
          </w:tcPr>
          <w:p>
            <w:pPr>
              <w:pStyle w:val="Normal"/>
              <w:widowControl w:val="false"/>
              <w:jc w:val="center"/>
              <w:rPr>
                <w:b/>
                <w:b/>
                <w:bCs/>
                <w:sz w:val="20"/>
                <w:szCs w:val="20"/>
              </w:rPr>
            </w:pPr>
            <w:r>
              <w:rPr>
                <w:b/>
                <w:bCs/>
                <w:sz w:val="20"/>
                <w:szCs w:val="20"/>
              </w:rPr>
              <w:t>Opis</w:t>
            </w:r>
          </w:p>
        </w:tc>
        <w:tc>
          <w:tcPr>
            <w:tcW w:w="7718" w:type="dxa"/>
            <w:tcBorders/>
            <w:shd w:color="auto" w:fill="FFFFFF" w:themeFill="background1" w:val="clear"/>
            <w:vAlign w:val="center"/>
          </w:tcPr>
          <w:p>
            <w:pPr>
              <w:pStyle w:val="Normal"/>
              <w:widowControl w:val="false"/>
              <w:jc w:val="center"/>
              <w:rPr>
                <w:b/>
                <w:b/>
                <w:bCs/>
                <w:sz w:val="20"/>
                <w:szCs w:val="20"/>
              </w:rPr>
            </w:pPr>
            <w:r>
              <w:rPr>
                <w:b/>
                <w:bCs/>
                <w:sz w:val="20"/>
                <w:szCs w:val="20"/>
              </w:rPr>
              <w:t>Planirani opseg poslova</w:t>
            </w:r>
          </w:p>
        </w:tc>
        <w:tc>
          <w:tcPr>
            <w:tcW w:w="2149" w:type="dxa"/>
            <w:tcBorders/>
            <w:shd w:color="auto" w:fill="FFFFFF" w:themeFill="background1" w:val="clear"/>
            <w:vAlign w:val="center"/>
          </w:tcPr>
          <w:p>
            <w:pPr>
              <w:pStyle w:val="Normal"/>
              <w:widowControl w:val="false"/>
              <w:jc w:val="center"/>
              <w:rPr>
                <w:b/>
                <w:b/>
                <w:bCs/>
                <w:sz w:val="20"/>
                <w:szCs w:val="20"/>
              </w:rPr>
            </w:pPr>
            <w:r>
              <w:rPr>
                <w:b/>
                <w:bCs/>
                <w:sz w:val="20"/>
                <w:szCs w:val="20"/>
              </w:rPr>
              <w:t>Izvori financiranja</w:t>
            </w:r>
          </w:p>
        </w:tc>
        <w:tc>
          <w:tcPr>
            <w:tcW w:w="1295" w:type="dxa"/>
            <w:gridSpan w:val="2"/>
            <w:tcBorders>
              <w:right w:val="nil"/>
            </w:tcBorders>
            <w:shd w:color="auto" w:fill="FFFFFF" w:themeFill="background1" w:val="clear"/>
            <w:vAlign w:val="center"/>
          </w:tcPr>
          <w:p>
            <w:pPr>
              <w:pStyle w:val="Normal"/>
              <w:widowControl w:val="false"/>
              <w:jc w:val="center"/>
              <w:rPr>
                <w:b/>
                <w:b/>
                <w:bCs/>
                <w:sz w:val="20"/>
                <w:szCs w:val="20"/>
              </w:rPr>
            </w:pPr>
            <w:r>
              <w:rPr>
                <w:b/>
                <w:bCs/>
                <w:sz w:val="20"/>
                <w:szCs w:val="20"/>
              </w:rPr>
              <w:t>Planirano ukupno (EUR)</w:t>
            </w:r>
          </w:p>
        </w:tc>
        <w:tc>
          <w:tcPr>
            <w:tcW w:w="1838" w:type="dxa"/>
            <w:gridSpan w:val="2"/>
            <w:tcBorders/>
            <w:shd w:color="auto" w:fill="FFFFFF" w:themeFill="background1" w:val="clear"/>
            <w:vAlign w:val="center"/>
          </w:tcPr>
          <w:p>
            <w:pPr>
              <w:pStyle w:val="Normal"/>
              <w:widowControl w:val="false"/>
              <w:jc w:val="center"/>
              <w:rPr>
                <w:b/>
                <w:b/>
                <w:bCs/>
              </w:rPr>
            </w:pPr>
            <w:r>
              <w:rPr>
                <w:b/>
                <w:bCs/>
                <w:sz w:val="22"/>
                <w:szCs w:val="22"/>
              </w:rPr>
              <w:t>Polugodišnje izvješće za razdoblje 01.01.-30.06.2025</w:t>
            </w:r>
          </w:p>
        </w:tc>
      </w:tr>
      <w:tr>
        <w:trPr>
          <w:trHeight w:val="340" w:hRule="atLeast"/>
        </w:trPr>
        <w:tc>
          <w:tcPr>
            <w:tcW w:w="572" w:type="dxa"/>
            <w:tcBorders/>
            <w:shd w:color="auto" w:fill="FFFFFF" w:themeFill="background1" w:val="clear"/>
            <w:vAlign w:val="center"/>
          </w:tcPr>
          <w:p>
            <w:pPr>
              <w:pStyle w:val="Normal"/>
              <w:widowControl w:val="false"/>
              <w:jc w:val="both"/>
              <w:rPr>
                <w:sz w:val="22"/>
                <w:szCs w:val="22"/>
              </w:rPr>
            </w:pPr>
            <w:r>
              <w:rPr>
                <w:sz w:val="20"/>
                <w:szCs w:val="20"/>
              </w:rPr>
              <w:t>3.1.</w:t>
            </w:r>
          </w:p>
        </w:tc>
        <w:tc>
          <w:tcPr>
            <w:tcW w:w="1291" w:type="dxa"/>
            <w:tcBorders/>
            <w:shd w:color="auto" w:fill="FFFFFF" w:themeFill="background1" w:val="clear"/>
            <w:vAlign w:val="center"/>
          </w:tcPr>
          <w:p>
            <w:pPr>
              <w:pStyle w:val="Normal"/>
              <w:widowControl w:val="false"/>
              <w:jc w:val="both"/>
              <w:rPr>
                <w:sz w:val="20"/>
                <w:szCs w:val="20"/>
              </w:rPr>
            </w:pPr>
            <w:r>
              <w:rPr>
                <w:sz w:val="20"/>
                <w:szCs w:val="20"/>
              </w:rPr>
              <w:t>Prijevoz materijala – mjesno groblje Mihovljan</w:t>
            </w:r>
          </w:p>
        </w:tc>
        <w:tc>
          <w:tcPr>
            <w:tcW w:w="7718" w:type="dxa"/>
            <w:tcBorders/>
            <w:shd w:color="auto" w:fill="FFFFFF" w:themeFill="background1" w:val="clear"/>
            <w:vAlign w:val="center"/>
          </w:tcPr>
          <w:p>
            <w:pPr>
              <w:pStyle w:val="Normal"/>
              <w:widowControl w:val="false"/>
              <w:jc w:val="both"/>
              <w:rPr>
                <w:sz w:val="20"/>
                <w:szCs w:val="20"/>
              </w:rPr>
            </w:pPr>
            <w:r>
              <w:rPr>
                <w:sz w:val="20"/>
                <w:szCs w:val="20"/>
              </w:rPr>
              <w:t xml:space="preserve">Dovoz kamenog materijala do lokacije kod groblja za daljnji odvoz po  stazama na groblju </w:t>
            </w:r>
          </w:p>
        </w:tc>
        <w:tc>
          <w:tcPr>
            <w:tcW w:w="2149" w:type="dxa"/>
            <w:tcBorders/>
            <w:shd w:color="auto" w:fill="FFFFFF" w:themeFill="background1" w:val="clear"/>
            <w:vAlign w:val="center"/>
          </w:tcPr>
          <w:p>
            <w:pPr>
              <w:pStyle w:val="NoSpacing"/>
              <w:widowControl w:val="false"/>
              <w:rPr>
                <w:sz w:val="20"/>
                <w:szCs w:val="20"/>
              </w:rPr>
            </w:pPr>
            <w:r>
              <w:rPr>
                <w:rFonts w:cs="Times New Roman" w:ascii="Times New Roman" w:hAnsi="Times New Roman"/>
                <w:sz w:val="20"/>
                <w:szCs w:val="20"/>
              </w:rPr>
              <w:t>Proračun Općine=400,00 EUR</w:t>
            </w:r>
          </w:p>
          <w:p>
            <w:pPr>
              <w:pStyle w:val="NoSpacing"/>
              <w:widowControl w:val="false"/>
              <w:rPr>
                <w:rFonts w:ascii="Times New Roman" w:hAnsi="Times New Roman" w:cs="Times New Roman"/>
                <w:sz w:val="16"/>
                <w:szCs w:val="16"/>
              </w:rPr>
            </w:pPr>
            <w:r>
              <w:rPr>
                <w:rFonts w:cs="Times New Roman" w:ascii="Times New Roman" w:hAnsi="Times New Roman"/>
                <w:sz w:val="20"/>
                <w:szCs w:val="20"/>
              </w:rPr>
              <w:t>(43- prihodi za posebne namjene)</w:t>
            </w:r>
          </w:p>
        </w:tc>
        <w:tc>
          <w:tcPr>
            <w:tcW w:w="1295" w:type="dxa"/>
            <w:gridSpan w:val="2"/>
            <w:tcBorders>
              <w:right w:val="nil"/>
            </w:tcBorders>
            <w:shd w:color="auto" w:fill="FFFFFF" w:themeFill="background1" w:val="clear"/>
            <w:vAlign w:val="center"/>
          </w:tcPr>
          <w:p>
            <w:pPr>
              <w:pStyle w:val="Normal"/>
              <w:widowControl w:val="false"/>
              <w:jc w:val="center"/>
              <w:rPr>
                <w:sz w:val="20"/>
                <w:szCs w:val="20"/>
              </w:rPr>
            </w:pPr>
            <w:r>
              <w:rPr>
                <w:sz w:val="20"/>
                <w:szCs w:val="20"/>
              </w:rPr>
              <w:t>400,00</w:t>
            </w:r>
          </w:p>
        </w:tc>
        <w:tc>
          <w:tcPr>
            <w:tcW w:w="1838" w:type="dxa"/>
            <w:gridSpan w:val="2"/>
            <w:tcBorders/>
            <w:shd w:color="auto" w:fill="FFFFFF" w:themeFill="background1" w:val="clear"/>
            <w:vAlign w:val="center"/>
          </w:tcPr>
          <w:p>
            <w:pPr>
              <w:pStyle w:val="Normal"/>
              <w:widowControl w:val="false"/>
              <w:jc w:val="center"/>
              <w:rPr>
                <w:sz w:val="20"/>
                <w:szCs w:val="20"/>
              </w:rPr>
            </w:pPr>
            <w:r>
              <w:rPr>
                <w:sz w:val="20"/>
                <w:szCs w:val="20"/>
              </w:rPr>
              <w:t>0,00</w:t>
            </w:r>
          </w:p>
        </w:tc>
      </w:tr>
      <w:tr>
        <w:trPr>
          <w:trHeight w:val="340" w:hRule="atLeast"/>
        </w:trPr>
        <w:tc>
          <w:tcPr>
            <w:tcW w:w="572" w:type="dxa"/>
            <w:tcBorders/>
            <w:shd w:color="auto" w:fill="FFFFFF" w:themeFill="background1" w:val="clear"/>
            <w:vAlign w:val="center"/>
          </w:tcPr>
          <w:p>
            <w:pPr>
              <w:pStyle w:val="Normal"/>
              <w:widowControl w:val="false"/>
              <w:jc w:val="both"/>
              <w:rPr>
                <w:sz w:val="22"/>
                <w:szCs w:val="22"/>
              </w:rPr>
            </w:pPr>
            <w:r>
              <w:rPr>
                <w:sz w:val="20"/>
                <w:szCs w:val="20"/>
              </w:rPr>
              <w:t>3.2.</w:t>
            </w:r>
          </w:p>
        </w:tc>
        <w:tc>
          <w:tcPr>
            <w:tcW w:w="1291" w:type="dxa"/>
            <w:tcBorders/>
            <w:shd w:color="auto" w:fill="FFFFFF" w:themeFill="background1" w:val="clear"/>
            <w:vAlign w:val="center"/>
          </w:tcPr>
          <w:p>
            <w:pPr>
              <w:pStyle w:val="Normal"/>
              <w:widowControl w:val="false"/>
              <w:jc w:val="both"/>
              <w:rPr>
                <w:sz w:val="22"/>
                <w:szCs w:val="22"/>
              </w:rPr>
            </w:pPr>
            <w:r>
              <w:rPr>
                <w:sz w:val="20"/>
                <w:szCs w:val="20"/>
              </w:rPr>
              <w:t>Kameni materijal – mjesno groblje Mihovljan</w:t>
            </w:r>
          </w:p>
          <w:p>
            <w:pPr>
              <w:pStyle w:val="Normal"/>
              <w:widowControl w:val="false"/>
              <w:jc w:val="both"/>
              <w:rPr>
                <w:sz w:val="20"/>
                <w:szCs w:val="20"/>
              </w:rPr>
            </w:pPr>
            <w:r>
              <w:rPr>
                <w:sz w:val="20"/>
                <w:szCs w:val="20"/>
              </w:rPr>
            </w:r>
          </w:p>
        </w:tc>
        <w:tc>
          <w:tcPr>
            <w:tcW w:w="7718" w:type="dxa"/>
            <w:tcBorders/>
            <w:shd w:color="auto" w:fill="FFFFFF" w:themeFill="background1" w:val="clear"/>
            <w:vAlign w:val="center"/>
          </w:tcPr>
          <w:p>
            <w:pPr>
              <w:pStyle w:val="Normal"/>
              <w:widowControl w:val="false"/>
              <w:jc w:val="both"/>
              <w:rPr>
                <w:sz w:val="20"/>
                <w:szCs w:val="20"/>
              </w:rPr>
            </w:pPr>
            <w:r>
              <w:rPr>
                <w:sz w:val="20"/>
                <w:szCs w:val="20"/>
              </w:rPr>
              <w:t xml:space="preserve">Nabava kamenog materijala za staze na groblju prema zajedničkoj procjeni komunalnog redara i tvrtke kojoj je povjereno održavanje Mjesnog groblja </w:t>
            </w:r>
          </w:p>
        </w:tc>
        <w:tc>
          <w:tcPr>
            <w:tcW w:w="2149" w:type="dxa"/>
            <w:tcBorders/>
            <w:shd w:color="auto" w:fill="FFFFFF" w:themeFill="background1" w:val="clear"/>
            <w:vAlign w:val="center"/>
          </w:tcPr>
          <w:p>
            <w:pPr>
              <w:pStyle w:val="NoSpacing"/>
              <w:widowControl w:val="false"/>
              <w:rPr>
                <w:sz w:val="20"/>
                <w:szCs w:val="20"/>
              </w:rPr>
            </w:pPr>
            <w:r>
              <w:rPr>
                <w:rFonts w:cs="Times New Roman" w:ascii="Times New Roman" w:hAnsi="Times New Roman"/>
                <w:sz w:val="20"/>
                <w:szCs w:val="20"/>
              </w:rPr>
              <w:t>Proračun Općine=400,00 EUR</w:t>
            </w:r>
          </w:p>
          <w:p>
            <w:pPr>
              <w:pStyle w:val="NoSpacing"/>
              <w:widowControl w:val="false"/>
              <w:rPr>
                <w:rFonts w:ascii="Times New Roman" w:hAnsi="Times New Roman" w:cs="Times New Roman"/>
                <w:sz w:val="16"/>
                <w:szCs w:val="16"/>
              </w:rPr>
            </w:pPr>
            <w:r>
              <w:rPr>
                <w:rFonts w:cs="Times New Roman" w:ascii="Times New Roman" w:hAnsi="Times New Roman"/>
                <w:sz w:val="20"/>
                <w:szCs w:val="20"/>
              </w:rPr>
              <w:t>(43- prihodi za posebne namjene)</w:t>
            </w:r>
          </w:p>
        </w:tc>
        <w:tc>
          <w:tcPr>
            <w:tcW w:w="1295" w:type="dxa"/>
            <w:gridSpan w:val="2"/>
            <w:tcBorders>
              <w:right w:val="nil"/>
            </w:tcBorders>
            <w:shd w:color="auto" w:fill="FFFFFF" w:themeFill="background1" w:val="clear"/>
            <w:vAlign w:val="center"/>
          </w:tcPr>
          <w:p>
            <w:pPr>
              <w:pStyle w:val="Normal"/>
              <w:widowControl w:val="false"/>
              <w:jc w:val="center"/>
              <w:rPr>
                <w:sz w:val="20"/>
                <w:szCs w:val="20"/>
              </w:rPr>
            </w:pPr>
            <w:r>
              <w:rPr>
                <w:sz w:val="20"/>
                <w:szCs w:val="20"/>
              </w:rPr>
              <w:t>400,00</w:t>
            </w:r>
          </w:p>
        </w:tc>
        <w:tc>
          <w:tcPr>
            <w:tcW w:w="1838" w:type="dxa"/>
            <w:gridSpan w:val="2"/>
            <w:tcBorders/>
            <w:shd w:color="auto" w:fill="FFFFFF" w:themeFill="background1" w:val="clear"/>
            <w:vAlign w:val="center"/>
          </w:tcPr>
          <w:p>
            <w:pPr>
              <w:pStyle w:val="Normal"/>
              <w:widowControl w:val="false"/>
              <w:jc w:val="center"/>
              <w:rPr>
                <w:sz w:val="20"/>
                <w:szCs w:val="20"/>
              </w:rPr>
            </w:pPr>
            <w:r>
              <w:rPr>
                <w:sz w:val="20"/>
                <w:szCs w:val="20"/>
              </w:rPr>
              <w:t>0,00</w:t>
            </w:r>
          </w:p>
        </w:tc>
      </w:tr>
      <w:tr>
        <w:trPr>
          <w:trHeight w:val="340" w:hRule="atLeast"/>
        </w:trPr>
        <w:tc>
          <w:tcPr>
            <w:tcW w:w="572" w:type="dxa"/>
            <w:tcBorders/>
            <w:shd w:color="auto" w:fill="FFFFFF" w:themeFill="background1" w:val="clear"/>
            <w:vAlign w:val="center"/>
          </w:tcPr>
          <w:p>
            <w:pPr>
              <w:pStyle w:val="Normal"/>
              <w:widowControl w:val="false"/>
              <w:jc w:val="both"/>
              <w:rPr>
                <w:sz w:val="22"/>
                <w:szCs w:val="22"/>
              </w:rPr>
            </w:pPr>
            <w:r>
              <w:rPr>
                <w:sz w:val="20"/>
                <w:szCs w:val="20"/>
              </w:rPr>
              <w:t>3.3.</w:t>
            </w:r>
          </w:p>
        </w:tc>
        <w:tc>
          <w:tcPr>
            <w:tcW w:w="1291" w:type="dxa"/>
            <w:tcBorders/>
            <w:shd w:color="auto" w:fill="FFFFFF" w:themeFill="background1" w:val="clear"/>
            <w:vAlign w:val="center"/>
          </w:tcPr>
          <w:p>
            <w:pPr>
              <w:pStyle w:val="Normal"/>
              <w:widowControl w:val="false"/>
              <w:jc w:val="both"/>
              <w:rPr>
                <w:sz w:val="20"/>
                <w:szCs w:val="20"/>
              </w:rPr>
            </w:pPr>
            <w:r>
              <w:rPr>
                <w:sz w:val="20"/>
                <w:szCs w:val="20"/>
              </w:rPr>
              <w:t xml:space="preserve">Izdaci za odvoz smeća (kontejnera) sa mjesnog groblja </w:t>
            </w:r>
          </w:p>
        </w:tc>
        <w:tc>
          <w:tcPr>
            <w:tcW w:w="7718" w:type="dxa"/>
            <w:tcBorders/>
            <w:shd w:color="auto" w:fill="FFFFFF" w:themeFill="background1" w:val="clear"/>
            <w:vAlign w:val="center"/>
          </w:tcPr>
          <w:p>
            <w:pPr>
              <w:pStyle w:val="Normal"/>
              <w:widowControl w:val="false"/>
              <w:jc w:val="both"/>
              <w:rPr>
                <w:sz w:val="20"/>
                <w:szCs w:val="20"/>
              </w:rPr>
            </w:pPr>
            <w:r>
              <w:rPr>
                <w:sz w:val="20"/>
                <w:szCs w:val="20"/>
              </w:rPr>
              <w:t>Odvoz smeća u kontejnerima sa mjesnog groblja. Manje odvoza tokom ljetnih mjeseci, više odvoza tokom jesenskih/zimskih mjeseci. Broj odvoza ovisi o punjenju kontejnera.</w:t>
            </w:r>
          </w:p>
        </w:tc>
        <w:tc>
          <w:tcPr>
            <w:tcW w:w="2149" w:type="dxa"/>
            <w:tcBorders/>
            <w:shd w:color="auto" w:fill="FFFFFF" w:themeFill="background1" w:val="clear"/>
            <w:vAlign w:val="center"/>
          </w:tcPr>
          <w:p>
            <w:pPr>
              <w:pStyle w:val="NoSpacing"/>
              <w:widowControl w:val="false"/>
              <w:rPr>
                <w:sz w:val="20"/>
                <w:szCs w:val="20"/>
              </w:rPr>
            </w:pPr>
            <w:r>
              <w:rPr>
                <w:rFonts w:cs="Times New Roman" w:ascii="Times New Roman" w:hAnsi="Times New Roman"/>
                <w:sz w:val="20"/>
                <w:szCs w:val="20"/>
              </w:rPr>
              <w:t>Proračun Općine=12.000,00 EUR</w:t>
            </w:r>
          </w:p>
          <w:p>
            <w:pPr>
              <w:pStyle w:val="NoSpacing"/>
              <w:widowControl w:val="false"/>
              <w:rPr>
                <w:rFonts w:ascii="Times New Roman" w:hAnsi="Times New Roman" w:cs="Times New Roman"/>
                <w:sz w:val="16"/>
                <w:szCs w:val="16"/>
              </w:rPr>
            </w:pPr>
            <w:r>
              <w:rPr>
                <w:rFonts w:cs="Times New Roman" w:ascii="Times New Roman" w:hAnsi="Times New Roman"/>
                <w:sz w:val="20"/>
                <w:szCs w:val="20"/>
              </w:rPr>
              <w:t>(43- prihodi za posebne namjene)</w:t>
            </w:r>
          </w:p>
        </w:tc>
        <w:tc>
          <w:tcPr>
            <w:tcW w:w="1295" w:type="dxa"/>
            <w:gridSpan w:val="2"/>
            <w:tcBorders>
              <w:right w:val="nil"/>
            </w:tcBorders>
            <w:shd w:color="auto" w:fill="FFFFFF" w:themeFill="background1" w:val="clear"/>
            <w:vAlign w:val="center"/>
          </w:tcPr>
          <w:p>
            <w:pPr>
              <w:pStyle w:val="Normal"/>
              <w:widowControl w:val="false"/>
              <w:jc w:val="center"/>
              <w:rPr>
                <w:sz w:val="20"/>
                <w:szCs w:val="20"/>
              </w:rPr>
            </w:pPr>
            <w:r>
              <w:rPr>
                <w:sz w:val="20"/>
                <w:szCs w:val="20"/>
              </w:rPr>
              <w:t>12.000,00</w:t>
            </w:r>
          </w:p>
        </w:tc>
        <w:tc>
          <w:tcPr>
            <w:tcW w:w="1838" w:type="dxa"/>
            <w:gridSpan w:val="2"/>
            <w:tcBorders/>
            <w:shd w:color="auto" w:fill="FFFFFF" w:themeFill="background1" w:val="clear"/>
            <w:vAlign w:val="center"/>
          </w:tcPr>
          <w:p>
            <w:pPr>
              <w:pStyle w:val="Normal"/>
              <w:widowControl w:val="false"/>
              <w:jc w:val="center"/>
              <w:rPr>
                <w:sz w:val="20"/>
                <w:szCs w:val="20"/>
              </w:rPr>
            </w:pPr>
            <w:r>
              <w:rPr>
                <w:sz w:val="20"/>
                <w:szCs w:val="20"/>
              </w:rPr>
              <w:t>5.259,49</w:t>
            </w:r>
          </w:p>
        </w:tc>
      </w:tr>
      <w:tr>
        <w:trPr>
          <w:trHeight w:val="340" w:hRule="atLeast"/>
        </w:trPr>
        <w:tc>
          <w:tcPr>
            <w:tcW w:w="572" w:type="dxa"/>
            <w:tcBorders>
              <w:top w:val="nil"/>
            </w:tcBorders>
            <w:shd w:color="auto" w:fill="FFFFFF" w:themeFill="background1" w:val="clear"/>
            <w:vAlign w:val="center"/>
          </w:tcPr>
          <w:p>
            <w:pPr>
              <w:pStyle w:val="Normal"/>
              <w:widowControl w:val="false"/>
              <w:jc w:val="both"/>
              <w:rPr>
                <w:sz w:val="22"/>
                <w:szCs w:val="22"/>
              </w:rPr>
            </w:pPr>
            <w:r>
              <w:rPr>
                <w:sz w:val="20"/>
                <w:szCs w:val="20"/>
              </w:rPr>
              <w:t>3.4.</w:t>
            </w:r>
          </w:p>
        </w:tc>
        <w:tc>
          <w:tcPr>
            <w:tcW w:w="1291" w:type="dxa"/>
            <w:tcBorders>
              <w:top w:val="nil"/>
            </w:tcBorders>
            <w:shd w:color="auto" w:fill="FFFFFF" w:themeFill="background1" w:val="clear"/>
            <w:vAlign w:val="center"/>
          </w:tcPr>
          <w:p>
            <w:pPr>
              <w:pStyle w:val="Normal"/>
              <w:widowControl w:val="false"/>
              <w:jc w:val="both"/>
              <w:rPr>
                <w:sz w:val="20"/>
                <w:szCs w:val="20"/>
              </w:rPr>
            </w:pPr>
            <w:r>
              <w:rPr>
                <w:sz w:val="20"/>
                <w:szCs w:val="20"/>
              </w:rPr>
              <w:t xml:space="preserve">Održavanje Mjesnog groblja </w:t>
            </w:r>
          </w:p>
          <w:p>
            <w:pPr>
              <w:pStyle w:val="Normal"/>
              <w:widowControl w:val="false"/>
              <w:jc w:val="both"/>
              <w:rPr>
                <w:sz w:val="16"/>
                <w:szCs w:val="16"/>
              </w:rPr>
            </w:pPr>
            <w:r>
              <w:rPr>
                <w:sz w:val="16"/>
                <w:szCs w:val="16"/>
              </w:rPr>
            </w:r>
          </w:p>
        </w:tc>
        <w:tc>
          <w:tcPr>
            <w:tcW w:w="7718" w:type="dxa"/>
            <w:tcBorders>
              <w:top w:val="nil"/>
            </w:tcBorders>
            <w:shd w:color="auto" w:fill="FFFFFF" w:themeFill="background1" w:val="clear"/>
            <w:vAlign w:val="center"/>
          </w:tcPr>
          <w:p>
            <w:pPr>
              <w:pStyle w:val="Normal"/>
              <w:jc w:val="both"/>
              <w:rPr/>
            </w:pPr>
            <w:r>
              <w:rPr>
                <w:rFonts w:cs="Arial"/>
                <w:sz w:val="20"/>
                <w:szCs w:val="20"/>
              </w:rPr>
              <w:t>Tjedno čišćenje smeća sa svih staza i puteva na groblju, prostora oko kontejnera te odvoz starih vijenaca sa grobova u kontejnere uz groblje (najmanje 10 dana nakon ukopa u ljetnim mjesecima odnosno 20 dana u ostalim mjesecima). Košnja trave i korova na čitavom groblju, između grobnih mjesta, košnja trave oko žičane ograde (izvana i iznutra) te prilazima groblju;</w:t>
            </w:r>
            <w:r>
              <w:rPr>
                <w:rFonts w:cs="Arial"/>
                <w:color w:val="000000"/>
                <w:sz w:val="20"/>
                <w:szCs w:val="20"/>
              </w:rPr>
              <w:t xml:space="preserve"> mehaničko uništavanje i otklanjanje korova na šljunčanim stazama,</w:t>
            </w:r>
            <w:r>
              <w:rPr>
                <w:rFonts w:cs="Arial"/>
                <w:sz w:val="20"/>
                <w:szCs w:val="20"/>
              </w:rPr>
              <w:t xml:space="preserve"> košnja trave i korova oko mrtvačnice i drugih javnih i travnatih površina uz groblje, te čišćenje snijega i leda na glavnim stazama na groblju i oko mrtvačnice</w:t>
            </w:r>
            <w:r>
              <w:rPr>
                <w:rFonts w:cs="Arial"/>
                <w:b/>
                <w:bCs/>
                <w:sz w:val="20"/>
                <w:szCs w:val="20"/>
              </w:rPr>
              <w:t xml:space="preserve">. </w:t>
            </w:r>
            <w:r>
              <w:rPr>
                <w:rFonts w:cs="Arial"/>
                <w:sz w:val="20"/>
                <w:szCs w:val="20"/>
              </w:rPr>
              <w:t>Radovi  se izvode  po  potrebi tijekom  godine  u  cilju  urednosti  i  očišćenosti  groblja. Uništavanje korova s prskanjem herbicidima po stazama na novom dijelu groblja, na  stazama i između grobova na starom dijelu groblja- najmanje  jednom godišnje, odnosno po  potrebi. Vožnja šljunaka/kamenog agregata sa parkinga po stazama mjesnog groblja Mihovljan i ostalim dijelovima po potrebi. Odvoz  šljunka   sa  staza  - dijelova  groblja gdje  se ukaže potreba kada  se  radi  o  previsokim stazicama  u odnosu  na  ostali dio  groblja Šišanje i uređivanje čempresa -  jednom godišnje. Čišćenje i uređenje mrtvačnice (u što spada: čišćenje podova, prozora, ulaznih vrata, sanitarnog čvora, uređenje prostorija mrtvačnice, uređenje odra i popratnih prostorija, čišćenje i uređenje dijela ispred mrtvačnice te neposredna briga o ispravnom korištenju inventara mrtvačnice) – prije  i nakon  sprovoda.</w:t>
            </w:r>
          </w:p>
        </w:tc>
        <w:tc>
          <w:tcPr>
            <w:tcW w:w="2149" w:type="dxa"/>
            <w:tcBorders>
              <w:top w:val="nil"/>
            </w:tcBorders>
            <w:shd w:color="auto" w:fill="FFFFFF" w:themeFill="background1" w:val="clear"/>
            <w:vAlign w:val="center"/>
          </w:tcPr>
          <w:p>
            <w:pPr>
              <w:pStyle w:val="NoSpacing"/>
              <w:widowControl w:val="false"/>
              <w:rPr>
                <w:sz w:val="20"/>
                <w:szCs w:val="20"/>
              </w:rPr>
            </w:pPr>
            <w:r>
              <w:rPr>
                <w:rFonts w:cs="Times New Roman" w:ascii="Times New Roman" w:hAnsi="Times New Roman"/>
                <w:sz w:val="20"/>
                <w:szCs w:val="20"/>
              </w:rPr>
              <w:t>Proračun Općine=12.000,00 EUR</w:t>
            </w:r>
          </w:p>
          <w:p>
            <w:pPr>
              <w:pStyle w:val="NoSpacing"/>
              <w:widowControl w:val="false"/>
              <w:rPr>
                <w:rFonts w:ascii="Times New Roman" w:hAnsi="Times New Roman" w:cs="Times New Roman"/>
                <w:sz w:val="16"/>
                <w:szCs w:val="16"/>
              </w:rPr>
            </w:pPr>
            <w:r>
              <w:rPr>
                <w:rFonts w:cs="Times New Roman" w:ascii="Times New Roman" w:hAnsi="Times New Roman"/>
                <w:sz w:val="20"/>
                <w:szCs w:val="20"/>
              </w:rPr>
              <w:t>(31- vlastiti prihodi)</w:t>
            </w:r>
          </w:p>
        </w:tc>
        <w:tc>
          <w:tcPr>
            <w:tcW w:w="1295" w:type="dxa"/>
            <w:gridSpan w:val="2"/>
            <w:tcBorders>
              <w:top w:val="nil"/>
              <w:right w:val="nil"/>
            </w:tcBorders>
            <w:shd w:color="auto" w:fill="FFFFFF" w:themeFill="background1" w:val="clear"/>
            <w:vAlign w:val="center"/>
          </w:tcPr>
          <w:p>
            <w:pPr>
              <w:pStyle w:val="Normal"/>
              <w:widowControl w:val="false"/>
              <w:jc w:val="center"/>
              <w:rPr>
                <w:sz w:val="20"/>
                <w:szCs w:val="20"/>
              </w:rPr>
            </w:pPr>
            <w:r>
              <w:rPr>
                <w:sz w:val="20"/>
                <w:szCs w:val="20"/>
              </w:rPr>
              <w:t>12.000,00</w:t>
            </w:r>
          </w:p>
        </w:tc>
        <w:tc>
          <w:tcPr>
            <w:tcW w:w="1838" w:type="dxa"/>
            <w:gridSpan w:val="2"/>
            <w:tcBorders>
              <w:top w:val="nil"/>
            </w:tcBorders>
            <w:shd w:color="auto" w:fill="FFFFFF" w:themeFill="background1" w:val="clear"/>
            <w:vAlign w:val="center"/>
          </w:tcPr>
          <w:p>
            <w:pPr>
              <w:pStyle w:val="Normal"/>
              <w:widowControl w:val="false"/>
              <w:jc w:val="center"/>
              <w:rPr>
                <w:sz w:val="20"/>
                <w:szCs w:val="20"/>
              </w:rPr>
            </w:pPr>
            <w:r>
              <w:rPr>
                <w:sz w:val="20"/>
                <w:szCs w:val="20"/>
              </w:rPr>
              <w:t>5.144,68</w:t>
            </w:r>
          </w:p>
        </w:tc>
      </w:tr>
      <w:tr>
        <w:trPr>
          <w:trHeight w:val="340" w:hRule="atLeast"/>
        </w:trPr>
        <w:tc>
          <w:tcPr>
            <w:tcW w:w="11733" w:type="dxa"/>
            <w:gridSpan w:val="5"/>
            <w:tcBorders>
              <w:right w:val="nil"/>
            </w:tcBorders>
            <w:shd w:color="auto" w:fill="auto" w:val="clear"/>
            <w:vAlign w:val="center"/>
          </w:tcPr>
          <w:p>
            <w:pPr>
              <w:pStyle w:val="Normal"/>
              <w:widowControl w:val="false"/>
              <w:jc w:val="right"/>
              <w:rPr>
                <w:sz w:val="20"/>
                <w:szCs w:val="20"/>
              </w:rPr>
            </w:pPr>
            <w:r>
              <w:rPr>
                <w:b/>
                <w:sz w:val="20"/>
                <w:szCs w:val="20"/>
              </w:rPr>
              <w:t>SVEUKUPNO</w:t>
            </w:r>
          </w:p>
        </w:tc>
        <w:tc>
          <w:tcPr>
            <w:tcW w:w="1298" w:type="dxa"/>
            <w:gridSpan w:val="2"/>
            <w:tcBorders>
              <w:right w:val="nil"/>
            </w:tcBorders>
            <w:shd w:color="auto" w:fill="auto" w:val="clear"/>
            <w:vAlign w:val="center"/>
          </w:tcPr>
          <w:p>
            <w:pPr>
              <w:pStyle w:val="Normal"/>
              <w:widowControl w:val="false"/>
              <w:jc w:val="center"/>
              <w:rPr>
                <w:sz w:val="20"/>
                <w:szCs w:val="20"/>
              </w:rPr>
            </w:pPr>
            <w:r>
              <w:rPr>
                <w:b/>
                <w:sz w:val="20"/>
                <w:szCs w:val="20"/>
              </w:rPr>
              <w:t>24.800,00</w:t>
            </w:r>
          </w:p>
        </w:tc>
        <w:tc>
          <w:tcPr>
            <w:tcW w:w="1832" w:type="dxa"/>
            <w:tcBorders/>
            <w:shd w:color="auto" w:fill="auto" w:val="clear"/>
            <w:vAlign w:val="center"/>
          </w:tcPr>
          <w:p>
            <w:pPr>
              <w:pStyle w:val="Normal"/>
              <w:widowControl w:val="false"/>
              <w:jc w:val="center"/>
              <w:rPr>
                <w:b/>
                <w:b/>
                <w:bCs/>
                <w:sz w:val="20"/>
                <w:szCs w:val="20"/>
              </w:rPr>
            </w:pPr>
            <w:r>
              <w:rPr>
                <w:b/>
                <w:bCs/>
                <w:sz w:val="20"/>
                <w:szCs w:val="20"/>
              </w:rPr>
              <w:t>10.404,17</w:t>
            </w:r>
          </w:p>
        </w:tc>
      </w:tr>
    </w:tbl>
    <w:p>
      <w:pPr>
        <w:pStyle w:val="Normal"/>
        <w:spacing w:lineRule="auto" w:line="264"/>
        <w:rPr>
          <w:b/>
          <w:b/>
          <w:sz w:val="22"/>
          <w:szCs w:val="22"/>
        </w:rPr>
      </w:pPr>
      <w:r>
        <w:rPr>
          <w:b/>
          <w:sz w:val="22"/>
          <w:szCs w:val="22"/>
        </w:rPr>
      </w:r>
    </w:p>
    <w:p>
      <w:pPr>
        <w:pStyle w:val="Normal"/>
        <w:spacing w:lineRule="auto" w:line="264"/>
        <w:rPr>
          <w:b/>
          <w:b/>
          <w:sz w:val="22"/>
          <w:szCs w:val="22"/>
        </w:rPr>
      </w:pPr>
      <w:r>
        <w:rPr>
          <w:b/>
          <w:sz w:val="22"/>
          <w:szCs w:val="22"/>
        </w:rPr>
      </w:r>
    </w:p>
    <w:p>
      <w:pPr>
        <w:pStyle w:val="Normal"/>
        <w:spacing w:lineRule="auto" w:line="264"/>
        <w:rPr>
          <w:b/>
          <w:b/>
          <w:sz w:val="22"/>
          <w:szCs w:val="22"/>
        </w:rPr>
      </w:pPr>
      <w:r>
        <w:rPr>
          <w:b/>
          <w:sz w:val="22"/>
          <w:szCs w:val="22"/>
        </w:rPr>
      </w:r>
    </w:p>
    <w:p>
      <w:pPr>
        <w:pStyle w:val="Normal"/>
        <w:spacing w:lineRule="auto" w:line="264"/>
        <w:rPr>
          <w:b/>
          <w:b/>
          <w:sz w:val="22"/>
          <w:szCs w:val="22"/>
        </w:rPr>
      </w:pPr>
      <w:r>
        <w:rPr>
          <w:b/>
          <w:sz w:val="22"/>
          <w:szCs w:val="22"/>
        </w:rPr>
      </w:r>
    </w:p>
    <w:p>
      <w:pPr>
        <w:pStyle w:val="Normal"/>
        <w:spacing w:lineRule="auto" w:line="264"/>
        <w:rPr/>
      </w:pPr>
      <w:r>
        <w:rPr>
          <w:b/>
          <w:sz w:val="22"/>
          <w:szCs w:val="22"/>
        </w:rPr>
        <w:t>4. ODRŽAVANJE JAVNE RASVJETE</w:t>
      </w:r>
    </w:p>
    <w:p>
      <w:pPr>
        <w:pStyle w:val="Normal"/>
        <w:spacing w:lineRule="auto" w:line="264"/>
        <w:rPr/>
      </w:pPr>
      <w:r>
        <w:rPr>
          <w:sz w:val="22"/>
          <w:szCs w:val="22"/>
        </w:rPr>
        <w:tab/>
        <w:t xml:space="preserve">Pod održavanjem javne rasvjete podrazumijeva se upravljanje i održavanje instalacija javne rasvjete; uključujući podmirivanje troškova električne energije za javnu rasvjetu, za rasvjetljivanje površina javne namjene. </w:t>
      </w:r>
    </w:p>
    <w:p>
      <w:pPr>
        <w:pStyle w:val="Normal"/>
        <w:spacing w:lineRule="auto" w:line="264"/>
        <w:rPr>
          <w:sz w:val="22"/>
          <w:szCs w:val="22"/>
        </w:rPr>
      </w:pPr>
      <w:r>
        <w:rPr>
          <w:sz w:val="22"/>
          <w:szCs w:val="22"/>
        </w:rPr>
      </w:r>
    </w:p>
    <w:tbl>
      <w:tblPr>
        <w:tblStyle w:val="Reetkatablice"/>
        <w:tblW w:w="14900" w:type="dxa"/>
        <w:jc w:val="left"/>
        <w:tblInd w:w="-48" w:type="dxa"/>
        <w:tblCellMar>
          <w:top w:w="0" w:type="dxa"/>
          <w:left w:w="108" w:type="dxa"/>
          <w:bottom w:w="0" w:type="dxa"/>
          <w:right w:w="108" w:type="dxa"/>
        </w:tblCellMar>
        <w:tblLook w:firstRow="1" w:noVBand="1" w:lastRow="0" w:firstColumn="1" w:lastColumn="0" w:noHBand="0" w:val="04a0"/>
      </w:tblPr>
      <w:tblGrid>
        <w:gridCol w:w="487"/>
        <w:gridCol w:w="992"/>
        <w:gridCol w:w="7182"/>
        <w:gridCol w:w="2165"/>
        <w:gridCol w:w="6"/>
        <w:gridCol w:w="2192"/>
        <w:gridCol w:w="6"/>
        <w:gridCol w:w="3"/>
        <w:gridCol w:w="1866"/>
      </w:tblGrid>
      <w:tr>
        <w:trPr>
          <w:trHeight w:val="397" w:hRule="atLeast"/>
        </w:trPr>
        <w:tc>
          <w:tcPr>
            <w:tcW w:w="13033" w:type="dxa"/>
            <w:gridSpan w:val="8"/>
            <w:tcBorders>
              <w:right w:val="nil"/>
            </w:tcBorders>
            <w:shd w:color="auto" w:fill="D9D9D9" w:themeFill="background1" w:themeFillShade="d9" w:val="clear"/>
            <w:vAlign w:val="center"/>
          </w:tcPr>
          <w:p>
            <w:pPr>
              <w:pStyle w:val="Normal"/>
              <w:widowControl w:val="false"/>
              <w:spacing w:lineRule="auto" w:line="264"/>
              <w:jc w:val="center"/>
              <w:rPr>
                <w:b/>
                <w:b/>
                <w:sz w:val="22"/>
                <w:szCs w:val="22"/>
              </w:rPr>
            </w:pPr>
            <w:r>
              <w:rPr>
                <w:b/>
                <w:sz w:val="22"/>
                <w:szCs w:val="22"/>
              </w:rPr>
              <w:t>4. ODRŽAVANJE JAVNE RASVJETE</w:t>
            </w:r>
          </w:p>
        </w:tc>
        <w:tc>
          <w:tcPr>
            <w:tcW w:w="1866" w:type="dxa"/>
            <w:tcBorders/>
            <w:shd w:color="auto" w:fill="D9D9D9" w:themeFill="background1" w:themeFillShade="d9" w:val="clear"/>
            <w:vAlign w:val="center"/>
          </w:tcPr>
          <w:p>
            <w:pPr>
              <w:pStyle w:val="Normal"/>
              <w:widowControl w:val="false"/>
              <w:spacing w:lineRule="auto" w:line="264"/>
              <w:jc w:val="center"/>
              <w:rPr/>
            </w:pPr>
            <w:r>
              <w:rPr/>
            </w:r>
          </w:p>
        </w:tc>
      </w:tr>
      <w:tr>
        <w:trPr>
          <w:trHeight w:val="397" w:hRule="atLeast"/>
        </w:trPr>
        <w:tc>
          <w:tcPr>
            <w:tcW w:w="487" w:type="dxa"/>
            <w:tcBorders/>
            <w:shd w:color="auto" w:fill="FFFFFF" w:themeFill="background1" w:val="clear"/>
            <w:vAlign w:val="center"/>
          </w:tcPr>
          <w:p>
            <w:pPr>
              <w:pStyle w:val="Normal"/>
              <w:widowControl w:val="false"/>
              <w:jc w:val="center"/>
              <w:rPr>
                <w:b/>
                <w:b/>
                <w:bCs/>
                <w:sz w:val="20"/>
                <w:szCs w:val="20"/>
              </w:rPr>
            </w:pPr>
            <w:r>
              <w:rPr>
                <w:b/>
                <w:bCs/>
                <w:sz w:val="20"/>
                <w:szCs w:val="20"/>
              </w:rPr>
              <w:t>red.br</w:t>
            </w:r>
          </w:p>
        </w:tc>
        <w:tc>
          <w:tcPr>
            <w:tcW w:w="992" w:type="dxa"/>
            <w:tcBorders/>
            <w:shd w:color="auto" w:fill="FFFFFF" w:themeFill="background1" w:val="clear"/>
            <w:vAlign w:val="center"/>
          </w:tcPr>
          <w:p>
            <w:pPr>
              <w:pStyle w:val="Normal"/>
              <w:widowControl w:val="false"/>
              <w:jc w:val="center"/>
              <w:rPr>
                <w:sz w:val="22"/>
                <w:szCs w:val="22"/>
              </w:rPr>
            </w:pPr>
            <w:r>
              <w:rPr>
                <w:b/>
                <w:bCs/>
                <w:sz w:val="20"/>
                <w:szCs w:val="20"/>
              </w:rPr>
              <w:t>Opis</w:t>
            </w:r>
          </w:p>
        </w:tc>
        <w:tc>
          <w:tcPr>
            <w:tcW w:w="7182" w:type="dxa"/>
            <w:tcBorders/>
            <w:shd w:color="auto" w:fill="FFFFFF" w:themeFill="background1" w:val="clear"/>
            <w:vAlign w:val="center"/>
          </w:tcPr>
          <w:p>
            <w:pPr>
              <w:pStyle w:val="Normal"/>
              <w:widowControl w:val="false"/>
              <w:jc w:val="center"/>
              <w:rPr>
                <w:b/>
                <w:b/>
                <w:bCs/>
                <w:sz w:val="20"/>
                <w:szCs w:val="20"/>
              </w:rPr>
            </w:pPr>
            <w:r>
              <w:rPr>
                <w:b/>
                <w:bCs/>
                <w:sz w:val="20"/>
                <w:szCs w:val="20"/>
              </w:rPr>
              <w:t>Planirani opseg poslova</w:t>
            </w:r>
          </w:p>
        </w:tc>
        <w:tc>
          <w:tcPr>
            <w:tcW w:w="2165" w:type="dxa"/>
            <w:tcBorders/>
            <w:shd w:color="auto" w:fill="FFFFFF" w:themeFill="background1" w:val="clear"/>
            <w:vAlign w:val="center"/>
          </w:tcPr>
          <w:p>
            <w:pPr>
              <w:pStyle w:val="Normal"/>
              <w:widowControl w:val="false"/>
              <w:jc w:val="center"/>
              <w:rPr>
                <w:sz w:val="22"/>
                <w:szCs w:val="22"/>
              </w:rPr>
            </w:pPr>
            <w:r>
              <w:rPr>
                <w:b/>
                <w:bCs/>
                <w:sz w:val="20"/>
                <w:szCs w:val="20"/>
              </w:rPr>
              <w:t>Izvori financiranja</w:t>
            </w:r>
          </w:p>
        </w:tc>
        <w:tc>
          <w:tcPr>
            <w:tcW w:w="2198" w:type="dxa"/>
            <w:gridSpan w:val="2"/>
            <w:tcBorders>
              <w:right w:val="nil"/>
            </w:tcBorders>
            <w:shd w:color="auto" w:fill="FFFFFF" w:themeFill="background1" w:val="clear"/>
            <w:vAlign w:val="center"/>
          </w:tcPr>
          <w:p>
            <w:pPr>
              <w:pStyle w:val="Normal"/>
              <w:widowControl w:val="false"/>
              <w:jc w:val="center"/>
              <w:rPr>
                <w:b/>
                <w:b/>
                <w:bCs/>
                <w:sz w:val="20"/>
                <w:szCs w:val="20"/>
              </w:rPr>
            </w:pPr>
            <w:r>
              <w:rPr>
                <w:b/>
                <w:bCs/>
                <w:sz w:val="20"/>
                <w:szCs w:val="20"/>
              </w:rPr>
              <w:t>Planirano ukupno (EUR)</w:t>
            </w:r>
          </w:p>
        </w:tc>
        <w:tc>
          <w:tcPr>
            <w:tcW w:w="1875" w:type="dxa"/>
            <w:gridSpan w:val="3"/>
            <w:tcBorders/>
            <w:shd w:color="auto" w:fill="FFFFFF" w:themeFill="background1" w:val="clear"/>
            <w:vAlign w:val="center"/>
          </w:tcPr>
          <w:p>
            <w:pPr>
              <w:pStyle w:val="Normal"/>
              <w:widowControl w:val="false"/>
              <w:jc w:val="center"/>
              <w:rPr>
                <w:b/>
                <w:b/>
                <w:bCs/>
              </w:rPr>
            </w:pPr>
            <w:bookmarkStart w:id="1" w:name="__DdeLink__2462_2411975716"/>
            <w:r>
              <w:rPr>
                <w:b/>
                <w:bCs/>
                <w:sz w:val="22"/>
                <w:szCs w:val="22"/>
              </w:rPr>
              <w:t>Polugodišnje izvješće za razdoblje 01.01.-30.06.2025</w:t>
            </w:r>
            <w:bookmarkEnd w:id="1"/>
          </w:p>
        </w:tc>
      </w:tr>
      <w:tr>
        <w:trPr>
          <w:trHeight w:val="340" w:hRule="atLeast"/>
        </w:trPr>
        <w:tc>
          <w:tcPr>
            <w:tcW w:w="487" w:type="dxa"/>
            <w:tcBorders/>
            <w:shd w:color="auto" w:fill="FFFFFF" w:themeFill="background1" w:val="clear"/>
            <w:vAlign w:val="center"/>
          </w:tcPr>
          <w:p>
            <w:pPr>
              <w:pStyle w:val="Normal"/>
              <w:widowControl w:val="false"/>
              <w:jc w:val="both"/>
              <w:rPr>
                <w:sz w:val="22"/>
                <w:szCs w:val="22"/>
              </w:rPr>
            </w:pPr>
            <w:r>
              <w:rPr>
                <w:sz w:val="20"/>
                <w:szCs w:val="20"/>
              </w:rPr>
              <w:t>4.1.</w:t>
            </w:r>
          </w:p>
        </w:tc>
        <w:tc>
          <w:tcPr>
            <w:tcW w:w="992" w:type="dxa"/>
            <w:tcBorders/>
            <w:shd w:color="auto" w:fill="FFFFFF" w:themeFill="background1" w:val="clear"/>
            <w:vAlign w:val="center"/>
          </w:tcPr>
          <w:p>
            <w:pPr>
              <w:pStyle w:val="Normal"/>
              <w:widowControl w:val="false"/>
              <w:jc w:val="both"/>
              <w:rPr>
                <w:sz w:val="22"/>
                <w:szCs w:val="22"/>
              </w:rPr>
            </w:pPr>
            <w:r>
              <w:rPr>
                <w:sz w:val="20"/>
                <w:szCs w:val="20"/>
              </w:rPr>
              <w:t>Izdaci za održavanje javne rasvjete</w:t>
            </w:r>
          </w:p>
          <w:p>
            <w:pPr>
              <w:pStyle w:val="Normal"/>
              <w:widowControl w:val="false"/>
              <w:jc w:val="both"/>
              <w:rPr>
                <w:sz w:val="20"/>
                <w:szCs w:val="20"/>
              </w:rPr>
            </w:pPr>
            <w:r>
              <w:rPr>
                <w:sz w:val="20"/>
                <w:szCs w:val="20"/>
              </w:rPr>
            </w:r>
          </w:p>
        </w:tc>
        <w:tc>
          <w:tcPr>
            <w:tcW w:w="7182" w:type="dxa"/>
            <w:tcBorders/>
            <w:shd w:color="auto" w:fill="FFFFFF" w:themeFill="background1" w:val="clear"/>
            <w:vAlign w:val="center"/>
          </w:tcPr>
          <w:p>
            <w:pPr>
              <w:pStyle w:val="Normal"/>
              <w:widowControl w:val="false"/>
              <w:jc w:val="both"/>
              <w:rPr>
                <w:sz w:val="20"/>
                <w:szCs w:val="20"/>
              </w:rPr>
            </w:pPr>
            <w:r>
              <w:rPr>
                <w:sz w:val="20"/>
                <w:szCs w:val="20"/>
              </w:rPr>
              <w:t>Izmjena svjetiljki na stupovima javne rasvjete. Popravak armatura na stupovima (zamjena žica, grla, prigušnica i sl.), montaža nove javne rasvjete, reguliranje vremena paljenja i gašenja javne rasvjete. Montaža i demontaža ukrasnih svijetlećih tijela za Božić i Novu godinu.</w:t>
            </w:r>
          </w:p>
        </w:tc>
        <w:tc>
          <w:tcPr>
            <w:tcW w:w="2165" w:type="dxa"/>
            <w:tcBorders/>
            <w:shd w:color="auto" w:fill="FFFFFF" w:themeFill="background1" w:val="clear"/>
            <w:vAlign w:val="center"/>
          </w:tcPr>
          <w:p>
            <w:pPr>
              <w:pStyle w:val="NoSpacing"/>
              <w:widowControl w:val="false"/>
              <w:rPr>
                <w:sz w:val="20"/>
                <w:szCs w:val="20"/>
              </w:rPr>
            </w:pPr>
            <w:r>
              <w:rPr>
                <w:rFonts w:cs="Times New Roman" w:ascii="Times New Roman" w:hAnsi="Times New Roman"/>
                <w:sz w:val="20"/>
                <w:szCs w:val="20"/>
              </w:rPr>
              <w:t>Proračun Općine=7.000,00 EUR</w:t>
            </w:r>
          </w:p>
          <w:p>
            <w:pPr>
              <w:pStyle w:val="NoSpacing"/>
              <w:widowControl w:val="false"/>
              <w:rPr>
                <w:rFonts w:ascii="Times New Roman" w:hAnsi="Times New Roman" w:cs="Times New Roman"/>
                <w:sz w:val="16"/>
                <w:szCs w:val="16"/>
              </w:rPr>
            </w:pPr>
            <w:r>
              <w:rPr>
                <w:rFonts w:cs="Times New Roman" w:ascii="Times New Roman" w:hAnsi="Times New Roman"/>
                <w:sz w:val="20"/>
                <w:szCs w:val="20"/>
              </w:rPr>
              <w:t>(43- prihodi za posebne namjene)</w:t>
            </w:r>
          </w:p>
        </w:tc>
        <w:tc>
          <w:tcPr>
            <w:tcW w:w="2198" w:type="dxa"/>
            <w:gridSpan w:val="2"/>
            <w:tcBorders>
              <w:right w:val="nil"/>
            </w:tcBorders>
            <w:shd w:color="auto" w:fill="FFFFFF" w:themeFill="background1" w:val="clear"/>
            <w:vAlign w:val="center"/>
          </w:tcPr>
          <w:p>
            <w:pPr>
              <w:pStyle w:val="Normal"/>
              <w:widowControl w:val="false"/>
              <w:jc w:val="center"/>
              <w:rPr>
                <w:sz w:val="20"/>
                <w:szCs w:val="20"/>
              </w:rPr>
            </w:pPr>
            <w:r>
              <w:rPr>
                <w:sz w:val="20"/>
                <w:szCs w:val="20"/>
              </w:rPr>
              <w:t>7.000,00</w:t>
            </w:r>
          </w:p>
        </w:tc>
        <w:tc>
          <w:tcPr>
            <w:tcW w:w="1875" w:type="dxa"/>
            <w:gridSpan w:val="3"/>
            <w:tcBorders/>
            <w:shd w:color="auto" w:fill="FFFFFF" w:themeFill="background1" w:val="clear"/>
            <w:vAlign w:val="center"/>
          </w:tcPr>
          <w:p>
            <w:pPr>
              <w:pStyle w:val="Normal"/>
              <w:widowControl w:val="false"/>
              <w:jc w:val="center"/>
              <w:rPr>
                <w:sz w:val="20"/>
                <w:szCs w:val="20"/>
              </w:rPr>
            </w:pPr>
            <w:r>
              <w:rPr>
                <w:sz w:val="20"/>
                <w:szCs w:val="20"/>
              </w:rPr>
              <w:t>2.212,50</w:t>
            </w:r>
          </w:p>
        </w:tc>
      </w:tr>
      <w:tr>
        <w:trPr>
          <w:trHeight w:val="340" w:hRule="atLeast"/>
        </w:trPr>
        <w:tc>
          <w:tcPr>
            <w:tcW w:w="487" w:type="dxa"/>
            <w:tcBorders/>
            <w:shd w:color="auto" w:fill="FFFFFF" w:themeFill="background1" w:val="clear"/>
            <w:vAlign w:val="center"/>
          </w:tcPr>
          <w:p>
            <w:pPr>
              <w:pStyle w:val="Normal"/>
              <w:widowControl w:val="false"/>
              <w:jc w:val="both"/>
              <w:rPr>
                <w:sz w:val="22"/>
                <w:szCs w:val="22"/>
              </w:rPr>
            </w:pPr>
            <w:r>
              <w:rPr>
                <w:sz w:val="20"/>
                <w:szCs w:val="20"/>
              </w:rPr>
              <w:t>4.2.</w:t>
            </w:r>
          </w:p>
        </w:tc>
        <w:tc>
          <w:tcPr>
            <w:tcW w:w="992" w:type="dxa"/>
            <w:tcBorders/>
            <w:shd w:color="auto" w:fill="FFFFFF" w:themeFill="background1" w:val="clear"/>
            <w:vAlign w:val="center"/>
          </w:tcPr>
          <w:p>
            <w:pPr>
              <w:pStyle w:val="Normal"/>
              <w:widowControl w:val="false"/>
              <w:jc w:val="both"/>
              <w:rPr>
                <w:sz w:val="22"/>
                <w:szCs w:val="22"/>
              </w:rPr>
            </w:pPr>
            <w:r>
              <w:rPr>
                <w:sz w:val="20"/>
                <w:szCs w:val="20"/>
              </w:rPr>
              <w:t>Dijelovi za javnu rasvjetu</w:t>
            </w:r>
          </w:p>
          <w:p>
            <w:pPr>
              <w:pStyle w:val="Normal"/>
              <w:widowControl w:val="false"/>
              <w:jc w:val="both"/>
              <w:rPr>
                <w:sz w:val="20"/>
                <w:szCs w:val="20"/>
              </w:rPr>
            </w:pPr>
            <w:r>
              <w:rPr>
                <w:sz w:val="20"/>
                <w:szCs w:val="20"/>
              </w:rPr>
            </w:r>
          </w:p>
        </w:tc>
        <w:tc>
          <w:tcPr>
            <w:tcW w:w="7182" w:type="dxa"/>
            <w:tcBorders/>
            <w:shd w:color="auto" w:fill="FFFFFF" w:themeFill="background1" w:val="clear"/>
            <w:vAlign w:val="center"/>
          </w:tcPr>
          <w:p>
            <w:pPr>
              <w:pStyle w:val="Normal"/>
              <w:widowControl w:val="false"/>
              <w:jc w:val="both"/>
              <w:rPr>
                <w:sz w:val="20"/>
                <w:szCs w:val="20"/>
              </w:rPr>
            </w:pPr>
            <w:r>
              <w:rPr>
                <w:sz w:val="20"/>
                <w:szCs w:val="20"/>
              </w:rPr>
              <w:t>Nabava materijala potrebnog  za održavanje i montažu novih rasvjetnih tijela. Steznice, obujmice, vijci za stezanje obujmica, kabel. Ovisno o broju svjetiljki koje je potrebno servisirati ili promijeniti.</w:t>
            </w:r>
          </w:p>
        </w:tc>
        <w:tc>
          <w:tcPr>
            <w:tcW w:w="2165" w:type="dxa"/>
            <w:tcBorders/>
            <w:shd w:color="auto" w:fill="FFFFFF" w:themeFill="background1" w:val="clear"/>
            <w:vAlign w:val="center"/>
          </w:tcPr>
          <w:p>
            <w:pPr>
              <w:pStyle w:val="NoSpacing"/>
              <w:widowControl w:val="false"/>
              <w:rPr>
                <w:sz w:val="20"/>
                <w:szCs w:val="20"/>
              </w:rPr>
            </w:pPr>
            <w:r>
              <w:rPr>
                <w:rFonts w:cs="Times New Roman" w:ascii="Times New Roman" w:hAnsi="Times New Roman"/>
                <w:sz w:val="20"/>
                <w:szCs w:val="20"/>
              </w:rPr>
              <w:t>Proračun Općine=3.000,00 EUR</w:t>
            </w:r>
          </w:p>
          <w:p>
            <w:pPr>
              <w:pStyle w:val="NoSpacing"/>
              <w:widowControl w:val="false"/>
              <w:rPr>
                <w:rFonts w:ascii="Times New Roman" w:hAnsi="Times New Roman" w:cs="Times New Roman"/>
                <w:sz w:val="16"/>
                <w:szCs w:val="16"/>
              </w:rPr>
            </w:pPr>
            <w:r>
              <w:rPr>
                <w:rFonts w:cs="Times New Roman" w:ascii="Times New Roman" w:hAnsi="Times New Roman"/>
                <w:sz w:val="20"/>
                <w:szCs w:val="20"/>
              </w:rPr>
              <w:t>(11- opći prihodi i primici)</w:t>
            </w:r>
          </w:p>
        </w:tc>
        <w:tc>
          <w:tcPr>
            <w:tcW w:w="2198" w:type="dxa"/>
            <w:gridSpan w:val="2"/>
            <w:tcBorders>
              <w:right w:val="nil"/>
            </w:tcBorders>
            <w:shd w:color="auto" w:fill="FFFFFF" w:themeFill="background1" w:val="clear"/>
            <w:vAlign w:val="center"/>
          </w:tcPr>
          <w:p>
            <w:pPr>
              <w:pStyle w:val="Normal"/>
              <w:widowControl w:val="false"/>
              <w:jc w:val="center"/>
              <w:rPr>
                <w:sz w:val="20"/>
                <w:szCs w:val="20"/>
              </w:rPr>
            </w:pPr>
            <w:r>
              <w:rPr>
                <w:sz w:val="20"/>
                <w:szCs w:val="20"/>
              </w:rPr>
              <w:t>3.000,00</w:t>
            </w:r>
          </w:p>
        </w:tc>
        <w:tc>
          <w:tcPr>
            <w:tcW w:w="1875" w:type="dxa"/>
            <w:gridSpan w:val="3"/>
            <w:tcBorders/>
            <w:shd w:color="auto" w:fill="FFFFFF" w:themeFill="background1" w:val="clear"/>
            <w:vAlign w:val="center"/>
          </w:tcPr>
          <w:p>
            <w:pPr>
              <w:pStyle w:val="Normal"/>
              <w:widowControl w:val="false"/>
              <w:jc w:val="center"/>
              <w:rPr>
                <w:sz w:val="20"/>
                <w:szCs w:val="20"/>
              </w:rPr>
            </w:pPr>
            <w:r>
              <w:rPr>
                <w:sz w:val="20"/>
                <w:szCs w:val="20"/>
              </w:rPr>
              <w:t>318,50</w:t>
            </w:r>
          </w:p>
        </w:tc>
      </w:tr>
      <w:tr>
        <w:trPr>
          <w:trHeight w:val="340" w:hRule="atLeast"/>
        </w:trPr>
        <w:tc>
          <w:tcPr>
            <w:tcW w:w="487" w:type="dxa"/>
            <w:tcBorders/>
            <w:shd w:color="auto" w:fill="FFFFFF" w:themeFill="background1" w:val="clear"/>
            <w:vAlign w:val="center"/>
          </w:tcPr>
          <w:p>
            <w:pPr>
              <w:pStyle w:val="Normal"/>
              <w:widowControl w:val="false"/>
              <w:jc w:val="both"/>
              <w:rPr>
                <w:sz w:val="22"/>
                <w:szCs w:val="22"/>
              </w:rPr>
            </w:pPr>
            <w:r>
              <w:rPr>
                <w:sz w:val="20"/>
                <w:szCs w:val="20"/>
              </w:rPr>
              <w:t>4.3.</w:t>
            </w:r>
          </w:p>
        </w:tc>
        <w:tc>
          <w:tcPr>
            <w:tcW w:w="992" w:type="dxa"/>
            <w:tcBorders/>
            <w:shd w:color="auto" w:fill="FFFFFF" w:themeFill="background1" w:val="clear"/>
            <w:vAlign w:val="center"/>
          </w:tcPr>
          <w:p>
            <w:pPr>
              <w:pStyle w:val="Normal"/>
              <w:widowControl w:val="false"/>
              <w:jc w:val="both"/>
              <w:rPr>
                <w:sz w:val="22"/>
                <w:szCs w:val="22"/>
              </w:rPr>
            </w:pPr>
            <w:r>
              <w:rPr>
                <w:sz w:val="20"/>
                <w:szCs w:val="20"/>
              </w:rPr>
              <w:t>Trošak električne energije za javnu rasvjetu</w:t>
            </w:r>
          </w:p>
          <w:p>
            <w:pPr>
              <w:pStyle w:val="Normal"/>
              <w:widowControl w:val="false"/>
              <w:jc w:val="both"/>
              <w:rPr>
                <w:sz w:val="20"/>
                <w:szCs w:val="20"/>
              </w:rPr>
            </w:pPr>
            <w:r>
              <w:rPr>
                <w:sz w:val="20"/>
                <w:szCs w:val="20"/>
              </w:rPr>
            </w:r>
          </w:p>
        </w:tc>
        <w:tc>
          <w:tcPr>
            <w:tcW w:w="7182" w:type="dxa"/>
            <w:tcBorders/>
            <w:shd w:color="auto" w:fill="FFFFFF" w:themeFill="background1" w:val="clear"/>
            <w:vAlign w:val="center"/>
          </w:tcPr>
          <w:p>
            <w:pPr>
              <w:pStyle w:val="Normal"/>
              <w:widowControl w:val="false"/>
              <w:jc w:val="both"/>
              <w:rPr>
                <w:sz w:val="20"/>
                <w:szCs w:val="20"/>
              </w:rPr>
            </w:pPr>
            <w:r>
              <w:rPr>
                <w:sz w:val="20"/>
                <w:szCs w:val="20"/>
              </w:rPr>
              <w:t xml:space="preserve">Potrošnja električne energije za javnu rasvjetu prema stvarno ostvarenoj potrošnji.  </w:t>
            </w:r>
          </w:p>
        </w:tc>
        <w:tc>
          <w:tcPr>
            <w:tcW w:w="2165" w:type="dxa"/>
            <w:tcBorders/>
            <w:shd w:color="auto" w:fill="FFFFFF" w:themeFill="background1" w:val="clear"/>
            <w:vAlign w:val="center"/>
          </w:tcPr>
          <w:p>
            <w:pPr>
              <w:pStyle w:val="NoSpacing"/>
              <w:widowControl w:val="false"/>
              <w:rPr>
                <w:sz w:val="20"/>
                <w:szCs w:val="20"/>
              </w:rPr>
            </w:pPr>
            <w:r>
              <w:rPr>
                <w:rFonts w:cs="Times New Roman" w:ascii="Times New Roman" w:hAnsi="Times New Roman"/>
                <w:sz w:val="20"/>
                <w:szCs w:val="20"/>
              </w:rPr>
              <w:t>Proračun Općine=10.000,00 EUR</w:t>
            </w:r>
          </w:p>
          <w:p>
            <w:pPr>
              <w:pStyle w:val="NoSpacing"/>
              <w:widowControl w:val="false"/>
              <w:rPr>
                <w:rFonts w:ascii="Times New Roman" w:hAnsi="Times New Roman" w:cs="Times New Roman"/>
                <w:sz w:val="16"/>
                <w:szCs w:val="16"/>
              </w:rPr>
            </w:pPr>
            <w:r>
              <w:rPr>
                <w:rFonts w:cs="Times New Roman" w:ascii="Times New Roman" w:hAnsi="Times New Roman"/>
                <w:sz w:val="20"/>
                <w:szCs w:val="20"/>
              </w:rPr>
              <w:t>(43- prihodi za posebne namjene)</w:t>
            </w:r>
          </w:p>
        </w:tc>
        <w:tc>
          <w:tcPr>
            <w:tcW w:w="2198" w:type="dxa"/>
            <w:gridSpan w:val="2"/>
            <w:tcBorders>
              <w:right w:val="nil"/>
            </w:tcBorders>
            <w:shd w:color="auto" w:fill="FFFFFF" w:themeFill="background1" w:val="clear"/>
            <w:vAlign w:val="center"/>
          </w:tcPr>
          <w:p>
            <w:pPr>
              <w:pStyle w:val="Normal"/>
              <w:widowControl w:val="false"/>
              <w:jc w:val="center"/>
              <w:rPr>
                <w:sz w:val="20"/>
                <w:szCs w:val="20"/>
              </w:rPr>
            </w:pPr>
            <w:r>
              <w:rPr>
                <w:sz w:val="20"/>
                <w:szCs w:val="20"/>
              </w:rPr>
              <w:t>10.000,00</w:t>
            </w:r>
          </w:p>
        </w:tc>
        <w:tc>
          <w:tcPr>
            <w:tcW w:w="1875" w:type="dxa"/>
            <w:gridSpan w:val="3"/>
            <w:tcBorders/>
            <w:shd w:color="auto" w:fill="FFFFFF" w:themeFill="background1" w:val="clear"/>
            <w:vAlign w:val="center"/>
          </w:tcPr>
          <w:p>
            <w:pPr>
              <w:pStyle w:val="Normal"/>
              <w:widowControl w:val="false"/>
              <w:jc w:val="center"/>
              <w:rPr>
                <w:sz w:val="20"/>
                <w:szCs w:val="20"/>
              </w:rPr>
            </w:pPr>
            <w:r>
              <w:rPr>
                <w:sz w:val="20"/>
                <w:szCs w:val="20"/>
              </w:rPr>
              <w:t>3.554,00</w:t>
            </w:r>
          </w:p>
        </w:tc>
      </w:tr>
      <w:tr>
        <w:trPr>
          <w:trHeight w:val="340" w:hRule="atLeast"/>
        </w:trPr>
        <w:tc>
          <w:tcPr>
            <w:tcW w:w="10832" w:type="dxa"/>
            <w:gridSpan w:val="5"/>
            <w:tcBorders>
              <w:right w:val="nil"/>
            </w:tcBorders>
            <w:shd w:color="auto" w:fill="auto" w:val="clear"/>
            <w:vAlign w:val="center"/>
          </w:tcPr>
          <w:p>
            <w:pPr>
              <w:pStyle w:val="Normal"/>
              <w:widowControl w:val="false"/>
              <w:jc w:val="right"/>
              <w:rPr>
                <w:sz w:val="20"/>
                <w:szCs w:val="20"/>
              </w:rPr>
            </w:pPr>
            <w:r>
              <w:rPr>
                <w:b/>
                <w:sz w:val="20"/>
                <w:szCs w:val="20"/>
              </w:rPr>
              <w:t>SVEUKUPNO</w:t>
            </w:r>
          </w:p>
        </w:tc>
        <w:tc>
          <w:tcPr>
            <w:tcW w:w="2198" w:type="dxa"/>
            <w:gridSpan w:val="2"/>
            <w:tcBorders>
              <w:right w:val="nil"/>
            </w:tcBorders>
            <w:shd w:color="auto" w:fill="auto" w:val="clear"/>
            <w:vAlign w:val="center"/>
          </w:tcPr>
          <w:p>
            <w:pPr>
              <w:pStyle w:val="Normal"/>
              <w:widowControl w:val="false"/>
              <w:jc w:val="center"/>
              <w:rPr>
                <w:sz w:val="20"/>
                <w:szCs w:val="20"/>
              </w:rPr>
            </w:pPr>
            <w:r>
              <w:rPr>
                <w:b/>
                <w:sz w:val="20"/>
                <w:szCs w:val="20"/>
              </w:rPr>
              <w:t>20.000,00</w:t>
            </w:r>
          </w:p>
        </w:tc>
        <w:tc>
          <w:tcPr>
            <w:tcW w:w="1869" w:type="dxa"/>
            <w:gridSpan w:val="2"/>
            <w:tcBorders/>
            <w:shd w:color="auto" w:fill="auto" w:val="clear"/>
            <w:vAlign w:val="center"/>
          </w:tcPr>
          <w:p>
            <w:pPr>
              <w:pStyle w:val="Normal"/>
              <w:widowControl w:val="false"/>
              <w:jc w:val="center"/>
              <w:rPr>
                <w:b/>
                <w:b/>
                <w:bCs/>
                <w:sz w:val="20"/>
                <w:szCs w:val="20"/>
              </w:rPr>
            </w:pPr>
            <w:r>
              <w:rPr>
                <w:b/>
                <w:bCs/>
                <w:sz w:val="20"/>
                <w:szCs w:val="20"/>
              </w:rPr>
              <w:t>6.085,00</w:t>
            </w:r>
          </w:p>
        </w:tc>
      </w:tr>
    </w:tbl>
    <w:p>
      <w:pPr>
        <w:pStyle w:val="Normal"/>
        <w:spacing w:lineRule="auto" w:line="264"/>
        <w:jc w:val="center"/>
        <w:rPr>
          <w:b/>
          <w:b/>
          <w:sz w:val="22"/>
          <w:szCs w:val="22"/>
        </w:rPr>
      </w:pPr>
      <w:r>
        <w:rPr>
          <w:b/>
          <w:sz w:val="22"/>
          <w:szCs w:val="22"/>
        </w:rPr>
      </w:r>
    </w:p>
    <w:p>
      <w:pPr>
        <w:pStyle w:val="Normal"/>
        <w:spacing w:lineRule="auto" w:line="264"/>
        <w:jc w:val="center"/>
        <w:rPr/>
      </w:pPr>
      <w:r>
        <w:rPr>
          <w:b/>
          <w:sz w:val="22"/>
          <w:szCs w:val="22"/>
        </w:rPr>
        <w:t>Članak 4.</w:t>
      </w:r>
    </w:p>
    <w:p>
      <w:pPr>
        <w:pStyle w:val="Normal"/>
        <w:ind w:firstLine="567"/>
        <w:jc w:val="both"/>
        <w:rPr/>
      </w:pPr>
      <w:r>
        <w:rPr>
          <w:sz w:val="22"/>
          <w:szCs w:val="22"/>
        </w:rPr>
        <w:t xml:space="preserve">Ovo  Polugodišnje izvješće o utrošku sredstava po Programu održavanja objekata komunalne infrastrukture na području općine Mihovljan u 2025. godini objaviti će se u Službenom glasniku Krapinsko – zagorske županije.    </w:t>
      </w:r>
    </w:p>
    <w:p>
      <w:pPr>
        <w:pStyle w:val="Normal"/>
        <w:ind w:left="6372" w:hanging="0"/>
        <w:rPr>
          <w:sz w:val="22"/>
          <w:szCs w:val="22"/>
        </w:rPr>
      </w:pPr>
      <w:r>
        <w:rPr>
          <w:sz w:val="22"/>
          <w:szCs w:val="22"/>
        </w:rPr>
        <w:t xml:space="preserve">                                                                                                                                                                                               </w:t>
      </w:r>
      <w:r>
        <w:rPr>
          <w:sz w:val="22"/>
          <w:szCs w:val="22"/>
        </w:rPr>
        <w:tab/>
        <w:tab/>
        <w:tab/>
        <w:tab/>
        <w:tab/>
        <w:tab/>
        <w:t>Predsjednik Općinskog vijeća</w:t>
      </w:r>
    </w:p>
    <w:p>
      <w:pPr>
        <w:pStyle w:val="Normal"/>
        <w:rPr/>
      </w:pPr>
      <w:r>
        <w:rPr>
          <w:sz w:val="22"/>
          <w:szCs w:val="22"/>
        </w:rPr>
        <w:tab/>
        <w:tab/>
        <w:tab/>
        <w:tab/>
        <w:tab/>
        <w:tab/>
        <w:tab/>
        <w:tab/>
        <w:t xml:space="preserve">        </w:t>
        <w:tab/>
        <w:tab/>
        <w:tab/>
        <w:tab/>
        <w:tab/>
        <w:t xml:space="preserve">   </w:t>
        <w:tab/>
        <w:t xml:space="preserve">         mr. Silvestar Vučković dr.vet.med.                                                                                    </w:t>
      </w:r>
    </w:p>
    <w:p>
      <w:pPr>
        <w:pStyle w:val="Normal"/>
        <w:jc w:val="both"/>
        <w:rPr>
          <w:sz w:val="22"/>
          <w:szCs w:val="22"/>
        </w:rPr>
      </w:pPr>
      <w:r>
        <w:rPr>
          <w:sz w:val="22"/>
          <w:szCs w:val="22"/>
        </w:rPr>
      </w:r>
    </w:p>
    <w:p>
      <w:pPr>
        <w:pStyle w:val="Normal"/>
        <w:jc w:val="both"/>
        <w:rPr>
          <w:sz w:val="22"/>
          <w:szCs w:val="22"/>
        </w:rPr>
      </w:pPr>
      <w:r>
        <w:rPr>
          <w:sz w:val="22"/>
          <w:szCs w:val="22"/>
        </w:rPr>
      </w:r>
    </w:p>
    <w:p>
      <w:pPr>
        <w:pStyle w:val="Normal"/>
        <w:jc w:val="both"/>
        <w:rPr>
          <w:sz w:val="22"/>
          <w:szCs w:val="22"/>
        </w:rPr>
      </w:pPr>
      <w:r>
        <w:rPr>
          <w:sz w:val="22"/>
          <w:szCs w:val="22"/>
        </w:rPr>
      </w:r>
    </w:p>
    <w:p>
      <w:pPr>
        <w:pStyle w:val="Normal"/>
        <w:jc w:val="both"/>
        <w:rPr>
          <w:sz w:val="22"/>
          <w:szCs w:val="22"/>
        </w:rPr>
      </w:pPr>
      <w:r>
        <w:rPr>
          <w:sz w:val="22"/>
          <w:szCs w:val="22"/>
        </w:rPr>
      </w:r>
    </w:p>
    <w:p>
      <w:pPr>
        <w:pStyle w:val="Normal"/>
        <w:jc w:val="both"/>
        <w:rPr>
          <w:sz w:val="22"/>
          <w:szCs w:val="22"/>
        </w:rPr>
      </w:pPr>
      <w:r>
        <w:rPr>
          <w:sz w:val="22"/>
          <w:szCs w:val="22"/>
        </w:rPr>
      </w:r>
    </w:p>
    <w:p>
      <w:pPr>
        <w:pStyle w:val="Normal"/>
        <w:spacing w:lineRule="auto" w:line="276"/>
        <w:jc w:val="both"/>
        <w:rPr>
          <w:sz w:val="22"/>
          <w:szCs w:val="22"/>
        </w:rPr>
      </w:pPr>
      <w:r>
        <w:rPr>
          <w:sz w:val="22"/>
          <w:szCs w:val="22"/>
        </w:rPr>
      </w:r>
    </w:p>
    <w:p>
      <w:pPr>
        <w:pStyle w:val="Normal"/>
        <w:spacing w:lineRule="auto" w:line="276"/>
        <w:jc w:val="both"/>
        <w:rPr>
          <w:sz w:val="20"/>
          <w:szCs w:val="20"/>
        </w:rPr>
      </w:pPr>
      <w:r>
        <w:rPr>
          <w:sz w:val="20"/>
          <w:szCs w:val="20"/>
        </w:rPr>
        <w:t>DOSTAVITI:</w:t>
      </w:r>
    </w:p>
    <w:p>
      <w:pPr>
        <w:pStyle w:val="Normal"/>
        <w:numPr>
          <w:ilvl w:val="0"/>
          <w:numId w:val="2"/>
        </w:numPr>
        <w:jc w:val="both"/>
        <w:rPr>
          <w:sz w:val="20"/>
          <w:szCs w:val="20"/>
        </w:rPr>
      </w:pPr>
      <w:r>
        <w:rPr>
          <w:sz w:val="20"/>
          <w:szCs w:val="20"/>
        </w:rPr>
        <w:t>Ministarstvo prostornog uređenja, graditeljstva i državne imovine, Ul. Republike Austrije 20, 10000 Zagreb - na nadzor</w:t>
      </w:r>
    </w:p>
    <w:p>
      <w:pPr>
        <w:pStyle w:val="Normal"/>
        <w:numPr>
          <w:ilvl w:val="0"/>
          <w:numId w:val="2"/>
        </w:numPr>
        <w:jc w:val="both"/>
        <w:rPr/>
      </w:pPr>
      <w:r>
        <w:rPr>
          <w:sz w:val="20"/>
          <w:szCs w:val="20"/>
        </w:rPr>
        <w:t xml:space="preserve">Ministarstvo financija, Katančićeva 5, 10000 Zagreb, </w:t>
      </w:r>
      <w:hyperlink r:id="rId3">
        <w:r>
          <w:rPr>
            <w:rStyle w:val="Internetskapoveznica"/>
            <w:sz w:val="20"/>
            <w:szCs w:val="20"/>
          </w:rPr>
          <w:t>lokalni.proracuni@mfin.hr</w:t>
        </w:r>
      </w:hyperlink>
      <w:r>
        <w:rPr>
          <w:sz w:val="20"/>
          <w:szCs w:val="20"/>
        </w:rPr>
        <w:t xml:space="preserve"> (obavijest o objavi – link Službenog glasnika i web stranice Općine Mihovljan)</w:t>
      </w:r>
    </w:p>
    <w:p>
      <w:pPr>
        <w:pStyle w:val="Normal"/>
        <w:numPr>
          <w:ilvl w:val="0"/>
          <w:numId w:val="2"/>
        </w:numPr>
        <w:jc w:val="both"/>
        <w:rPr>
          <w:sz w:val="20"/>
          <w:szCs w:val="20"/>
        </w:rPr>
      </w:pPr>
      <w:r>
        <w:rPr>
          <w:sz w:val="20"/>
          <w:szCs w:val="20"/>
        </w:rPr>
        <w:t>Krapinsko-zagorska županija, Upravni odjel za poslove Županijske skupštine, n/r Svjetlane Goričan, Magistratska 1, 49000 Krapina (za objavu),</w:t>
      </w:r>
    </w:p>
    <w:p>
      <w:pPr>
        <w:pStyle w:val="Normal"/>
        <w:numPr>
          <w:ilvl w:val="0"/>
          <w:numId w:val="2"/>
        </w:numPr>
        <w:jc w:val="both"/>
        <w:rPr>
          <w:sz w:val="20"/>
          <w:szCs w:val="20"/>
        </w:rPr>
      </w:pPr>
      <w:r>
        <w:rPr>
          <w:sz w:val="20"/>
          <w:szCs w:val="20"/>
        </w:rPr>
        <w:t>Krapinsko-zagorska županija, Upravni odjel za financije i proračun, Magistratska 1, 49000 Krapina, (obavijest o objavi – link Službenog glasnika i web stranice Općine Mihovljan)</w:t>
      </w:r>
    </w:p>
    <w:p>
      <w:pPr>
        <w:pStyle w:val="Normal"/>
        <w:numPr>
          <w:ilvl w:val="0"/>
          <w:numId w:val="2"/>
        </w:numPr>
        <w:jc w:val="both"/>
        <w:rPr>
          <w:sz w:val="20"/>
          <w:szCs w:val="20"/>
        </w:rPr>
      </w:pPr>
      <w:r>
        <w:rPr>
          <w:sz w:val="20"/>
          <w:szCs w:val="20"/>
        </w:rPr>
        <w:t>Oglasna ploča i WEB stranica Općine Mihovljan,</w:t>
      </w:r>
    </w:p>
    <w:p>
      <w:pPr>
        <w:pStyle w:val="Normal"/>
        <w:numPr>
          <w:ilvl w:val="0"/>
          <w:numId w:val="2"/>
        </w:numPr>
        <w:jc w:val="both"/>
        <w:rPr>
          <w:sz w:val="20"/>
          <w:szCs w:val="20"/>
        </w:rPr>
      </w:pPr>
      <w:r>
        <w:rPr>
          <w:sz w:val="20"/>
          <w:szCs w:val="20"/>
        </w:rPr>
        <w:t>Općinskom načelniku Općine Mihovljan,</w:t>
      </w:r>
    </w:p>
    <w:p>
      <w:pPr>
        <w:pStyle w:val="Normal"/>
        <w:numPr>
          <w:ilvl w:val="0"/>
          <w:numId w:val="2"/>
        </w:numPr>
        <w:jc w:val="both"/>
        <w:rPr>
          <w:sz w:val="20"/>
          <w:szCs w:val="20"/>
        </w:rPr>
      </w:pPr>
      <w:r>
        <w:rPr>
          <w:sz w:val="20"/>
          <w:szCs w:val="20"/>
        </w:rPr>
        <w:t>Jedinstveni upravni odjel, ovdje,</w:t>
      </w:r>
    </w:p>
    <w:p>
      <w:pPr>
        <w:pStyle w:val="Normal"/>
        <w:numPr>
          <w:ilvl w:val="0"/>
          <w:numId w:val="2"/>
        </w:numPr>
        <w:jc w:val="both"/>
        <w:rPr>
          <w:sz w:val="20"/>
          <w:szCs w:val="20"/>
        </w:rPr>
      </w:pPr>
      <w:r>
        <w:rPr>
          <w:sz w:val="20"/>
          <w:szCs w:val="20"/>
        </w:rPr>
        <w:t>Prilog zapisniku,</w:t>
      </w:r>
    </w:p>
    <w:p>
      <w:pPr>
        <w:pStyle w:val="Normal"/>
        <w:numPr>
          <w:ilvl w:val="0"/>
          <w:numId w:val="2"/>
        </w:numPr>
        <w:jc w:val="both"/>
        <w:rPr/>
      </w:pPr>
      <w:r>
        <w:rPr>
          <w:sz w:val="20"/>
          <w:szCs w:val="20"/>
        </w:rPr>
        <w:t>Pismohrana</w:t>
      </w:r>
    </w:p>
    <w:sectPr>
      <w:type w:val="nextPage"/>
      <w:pgSz w:orient="landscape" w:w="16838" w:h="11906"/>
      <w:pgMar w:left="1417" w:right="707" w:header="0" w:top="426" w:footer="0" w:bottom="56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Garamond">
    <w:charset w:val="ee"/>
    <w:family w:val="roman"/>
    <w:pitch w:val="variable"/>
  </w:font>
  <w:font w:name="Tahoma">
    <w:charset w:val="ee"/>
    <w:family w:val="roman"/>
    <w:pitch w:val="variable"/>
  </w:font>
  <w:font w:name="Arial Narrow">
    <w:charset w:val="ee"/>
    <w:family w:val="roman"/>
    <w:pitch w:val="variable"/>
  </w:font>
  <w:font w:name="Liberation Sans">
    <w:altName w:val="Arial"/>
    <w:charset w:val="ee"/>
    <w:family w:val="roman"/>
    <w:pitch w:val="variable"/>
  </w:font>
  <w:font w:name="Arial">
    <w:charset w:val="ee"/>
    <w:family w:val="roman"/>
    <w:pitch w:val="variable"/>
  </w:font>
  <w:font w:name="Calibri">
    <w:charset w:val="ee"/>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40"/>
  <w:embedSystemFonts/>
  <w:defaultTabStop w:val="708"/>
  <w:autoHyphenation w:val="false"/>
  <w:compat>
    <w:compatSetting w:name="compatibilityMode" w:uri="http://schemas.microsoft.com/office/word" w:val="12"/>
    <w:compatSetting w:name="useWord2013TrackBottomHyphenation" w:uri="http://schemas.microsoft.com/office/word" w:val="1"/>
  </w:compat>
  <w:themeFontLang w:val="hr-H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hr-HR" w:eastAsia="hr-HR" w:bidi="ar-SA"/>
      </w:rPr>
    </w:rPrDefault>
    <w:pPrDefaul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bc48a3"/>
    <w:pPr>
      <w:widowControl/>
      <w:suppressAutoHyphens w:val="true"/>
      <w:bidi w:val="0"/>
      <w:jc w:val="left"/>
    </w:pPr>
    <w:rPr>
      <w:rFonts w:ascii="Times New Roman" w:hAnsi="Times New Roman" w:eastAsia="Times New Roman" w:cs="Times New Roman"/>
      <w:color w:val="auto"/>
      <w:kern w:val="0"/>
      <w:sz w:val="24"/>
      <w:szCs w:val="24"/>
      <w:lang w:val="hr-HR" w:eastAsia="hr-HR" w:bidi="ar-SA"/>
    </w:rPr>
  </w:style>
  <w:style w:type="paragraph" w:styleId="Stilnaslova2">
    <w:name w:val="Heading 2"/>
    <w:basedOn w:val="Normal"/>
    <w:next w:val="Normal"/>
    <w:qFormat/>
    <w:rsid w:val="00bc48a3"/>
    <w:pPr>
      <w:keepNext w:val="true"/>
      <w:jc w:val="center"/>
      <w:outlineLvl w:val="1"/>
    </w:pPr>
    <w:rPr>
      <w:rFonts w:ascii="Garamond" w:hAnsi="Garamond"/>
      <w:sz w:val="44"/>
      <w:szCs w:val="44"/>
    </w:rPr>
  </w:style>
  <w:style w:type="character" w:styleId="DefaultParagraphFont" w:default="1">
    <w:name w:val="Default Paragraph Font"/>
    <w:uiPriority w:val="1"/>
    <w:semiHidden/>
    <w:unhideWhenUsed/>
    <w:qFormat/>
    <w:rPr/>
  </w:style>
  <w:style w:type="character" w:styleId="AbsatzStandardschriftart" w:customStyle="1">
    <w:name w:val="Absatz-Standardschriftart"/>
    <w:qFormat/>
    <w:rsid w:val="00103a79"/>
    <w:rPr/>
  </w:style>
  <w:style w:type="character" w:styleId="TekstbaloniaChar" w:customStyle="1">
    <w:name w:val="Tekst balončića Char"/>
    <w:basedOn w:val="DefaultParagraphFont"/>
    <w:link w:val="Tekstbalonia"/>
    <w:qFormat/>
    <w:rsid w:val="00f34cb5"/>
    <w:rPr>
      <w:rFonts w:ascii="Tahoma" w:hAnsi="Tahoma" w:cs="Tahoma"/>
      <w:sz w:val="16"/>
      <w:szCs w:val="16"/>
    </w:rPr>
  </w:style>
  <w:style w:type="character" w:styleId="Internetskapoveznica" w:customStyle="1">
    <w:name w:val="Internetska poveznica"/>
    <w:basedOn w:val="DefaultParagraphFont"/>
    <w:unhideWhenUsed/>
    <w:rsid w:val="00180f15"/>
    <w:rPr>
      <w:color w:val="0000FF" w:themeColor="hyperlink"/>
      <w:u w:val="single"/>
    </w:rPr>
  </w:style>
  <w:style w:type="character" w:styleId="ListLabel1" w:customStyle="1">
    <w:name w:val="ListLabel 1"/>
    <w:qFormat/>
    <w:rsid w:val="008733f4"/>
    <w:rPr>
      <w:rFonts w:ascii="Arial Narrow" w:hAnsi="Arial Narrow" w:cs="Tahoma"/>
      <w:sz w:val="22"/>
      <w:szCs w:val="22"/>
    </w:rPr>
  </w:style>
  <w:style w:type="character" w:styleId="ListLabel2" w:customStyle="1">
    <w:name w:val="ListLabel 2"/>
    <w:qFormat/>
    <w:rsid w:val="008733f4"/>
    <w:rPr>
      <w:rFonts w:ascii="Arial Narrow" w:hAnsi="Arial Narrow" w:cs="Tahoma"/>
      <w:sz w:val="22"/>
      <w:szCs w:val="22"/>
    </w:rPr>
  </w:style>
  <w:style w:type="character" w:styleId="ListLabel3" w:customStyle="1">
    <w:name w:val="ListLabel 3"/>
    <w:qFormat/>
    <w:rsid w:val="008733f4"/>
    <w:rPr>
      <w:rFonts w:ascii="Arial Narrow" w:hAnsi="Arial Narrow" w:cs="Tahoma"/>
      <w:sz w:val="22"/>
      <w:szCs w:val="22"/>
    </w:rPr>
  </w:style>
  <w:style w:type="character" w:styleId="ListLabel4" w:customStyle="1">
    <w:name w:val="ListLabel 4"/>
    <w:qFormat/>
    <w:rPr>
      <w:sz w:val="20"/>
      <w:szCs w:val="20"/>
    </w:rPr>
  </w:style>
  <w:style w:type="character" w:styleId="ListLabel5" w:customStyle="1">
    <w:name w:val="ListLabel 5"/>
    <w:qFormat/>
    <w:rPr>
      <w:sz w:val="20"/>
      <w:szCs w:val="20"/>
    </w:rPr>
  </w:style>
  <w:style w:type="character" w:styleId="ListLabel6" w:customStyle="1">
    <w:name w:val="ListLabel 6"/>
    <w:qFormat/>
    <w:rPr>
      <w:sz w:val="20"/>
      <w:szCs w:val="20"/>
    </w:rPr>
  </w:style>
  <w:style w:type="character" w:styleId="ListLabel7" w:customStyle="1">
    <w:name w:val="ListLabel 7"/>
    <w:qFormat/>
    <w:rPr>
      <w:sz w:val="20"/>
      <w:szCs w:val="20"/>
    </w:rPr>
  </w:style>
  <w:style w:type="character" w:styleId="ListLabel8" w:customStyle="1">
    <w:name w:val="ListLabel 8"/>
    <w:qFormat/>
    <w:rPr>
      <w:sz w:val="20"/>
      <w:szCs w:val="20"/>
    </w:rPr>
  </w:style>
  <w:style w:type="character" w:styleId="ListLabel9" w:customStyle="1">
    <w:name w:val="ListLabel 9"/>
    <w:qFormat/>
    <w:rPr>
      <w:sz w:val="20"/>
      <w:szCs w:val="20"/>
    </w:rPr>
  </w:style>
  <w:style w:type="character" w:styleId="ListLabel10" w:customStyle="1">
    <w:name w:val="ListLabel 10"/>
    <w:qFormat/>
    <w:rPr>
      <w:sz w:val="20"/>
      <w:szCs w:val="20"/>
    </w:rPr>
  </w:style>
  <w:style w:type="character" w:styleId="ListLabel11" w:customStyle="1">
    <w:name w:val="ListLabel 11"/>
    <w:qFormat/>
    <w:rPr>
      <w:sz w:val="20"/>
      <w:szCs w:val="20"/>
    </w:rPr>
  </w:style>
  <w:style w:type="character" w:styleId="ListLabel12" w:customStyle="1">
    <w:name w:val="ListLabel 12"/>
    <w:qFormat/>
    <w:rPr>
      <w:sz w:val="20"/>
      <w:szCs w:val="20"/>
    </w:rPr>
  </w:style>
  <w:style w:type="character" w:styleId="ListLabel13" w:customStyle="1">
    <w:name w:val="ListLabel 13"/>
    <w:qFormat/>
    <w:rPr>
      <w:sz w:val="20"/>
      <w:szCs w:val="20"/>
    </w:rPr>
  </w:style>
  <w:style w:type="character" w:styleId="ListLabel14" w:customStyle="1">
    <w:name w:val="ListLabel 14"/>
    <w:qFormat/>
    <w:rPr>
      <w:sz w:val="20"/>
      <w:szCs w:val="20"/>
    </w:rPr>
  </w:style>
  <w:style w:type="character" w:styleId="ListLabel15">
    <w:name w:val="ListLabel 15"/>
    <w:qFormat/>
    <w:rPr>
      <w:sz w:val="20"/>
      <w:szCs w:val="20"/>
    </w:rPr>
  </w:style>
  <w:style w:type="character" w:styleId="ListLabel16">
    <w:name w:val="ListLabel 16"/>
    <w:qFormat/>
    <w:rPr>
      <w:sz w:val="20"/>
      <w:szCs w:val="20"/>
    </w:rPr>
  </w:style>
  <w:style w:type="character" w:styleId="ListLabel17">
    <w:name w:val="ListLabel 17"/>
    <w:qFormat/>
    <w:rPr>
      <w:sz w:val="20"/>
      <w:szCs w:val="20"/>
    </w:rPr>
  </w:style>
  <w:style w:type="character" w:styleId="ListLabel18">
    <w:name w:val="ListLabel 18"/>
    <w:qFormat/>
    <w:rPr>
      <w:sz w:val="20"/>
      <w:szCs w:val="20"/>
    </w:rPr>
  </w:style>
  <w:style w:type="paragraph" w:styleId="Stilnaslova" w:customStyle="1">
    <w:name w:val="Stil naslova"/>
    <w:basedOn w:val="Normal"/>
    <w:next w:val="Tijeloteksta"/>
    <w:qFormat/>
    <w:rsid w:val="008733f4"/>
    <w:pPr>
      <w:keepNext w:val="true"/>
      <w:spacing w:before="240" w:after="120"/>
    </w:pPr>
    <w:rPr>
      <w:rFonts w:ascii="Liberation Sans" w:hAnsi="Liberation Sans" w:eastAsia="Microsoft YaHei" w:cs="Arial"/>
      <w:sz w:val="28"/>
      <w:szCs w:val="28"/>
    </w:rPr>
  </w:style>
  <w:style w:type="paragraph" w:styleId="Tijeloteksta">
    <w:name w:val="Body Text"/>
    <w:basedOn w:val="Normal"/>
    <w:rsid w:val="00bc48a3"/>
    <w:pPr>
      <w:jc w:val="both"/>
    </w:pPr>
    <w:rPr>
      <w:rFonts w:ascii="Garamond" w:hAnsi="Garamond"/>
    </w:rPr>
  </w:style>
  <w:style w:type="paragraph" w:styleId="Popis">
    <w:name w:val="List"/>
    <w:basedOn w:val="Tijeloteksta"/>
    <w:rsid w:val="008733f4"/>
    <w:pPr/>
    <w:rPr>
      <w:rFonts w:cs="Arial"/>
    </w:rPr>
  </w:style>
  <w:style w:type="paragraph" w:styleId="Opiselementa">
    <w:name w:val="Caption"/>
    <w:basedOn w:val="Normal"/>
    <w:qFormat/>
    <w:pPr>
      <w:suppressLineNumbers/>
      <w:spacing w:before="120" w:after="120"/>
    </w:pPr>
    <w:rPr>
      <w:rFonts w:cs="Arial"/>
      <w:i/>
      <w:iCs/>
      <w:sz w:val="24"/>
      <w:szCs w:val="24"/>
    </w:rPr>
  </w:style>
  <w:style w:type="paragraph" w:styleId="Indeks" w:customStyle="1">
    <w:name w:val="Indeks"/>
    <w:basedOn w:val="Normal"/>
    <w:qFormat/>
    <w:rsid w:val="008733f4"/>
    <w:pPr>
      <w:suppressLineNumbers/>
    </w:pPr>
    <w:rPr>
      <w:rFonts w:cs="Arial"/>
    </w:rPr>
  </w:style>
  <w:style w:type="paragraph" w:styleId="Caption">
    <w:name w:val="caption"/>
    <w:basedOn w:val="Normal"/>
    <w:qFormat/>
    <w:rsid w:val="008733f4"/>
    <w:pPr>
      <w:suppressLineNumbers/>
      <w:spacing w:before="120" w:after="120"/>
    </w:pPr>
    <w:rPr>
      <w:rFonts w:cs="Arial"/>
      <w:i/>
      <w:iCs/>
    </w:rPr>
  </w:style>
  <w:style w:type="paragraph" w:styleId="Uvlakatijelateksta">
    <w:name w:val="Body Text Indent"/>
    <w:basedOn w:val="Normal"/>
    <w:rsid w:val="00bc48a3"/>
    <w:pPr>
      <w:ind w:firstLine="708"/>
      <w:jc w:val="both"/>
    </w:pPr>
    <w:rPr>
      <w:rFonts w:ascii="Arial" w:hAnsi="Arial" w:cs="Arial"/>
      <w:sz w:val="22"/>
      <w:szCs w:val="22"/>
    </w:rPr>
  </w:style>
  <w:style w:type="paragraph" w:styleId="BodyTextIndent2">
    <w:name w:val="Body Text Indent 2"/>
    <w:basedOn w:val="Normal"/>
    <w:qFormat/>
    <w:rsid w:val="00bc48a3"/>
    <w:pPr>
      <w:ind w:firstLine="360"/>
      <w:jc w:val="both"/>
    </w:pPr>
    <w:rPr>
      <w:rFonts w:ascii="Arial" w:hAnsi="Arial" w:cs="Arial"/>
      <w:sz w:val="22"/>
      <w:szCs w:val="20"/>
    </w:rPr>
  </w:style>
  <w:style w:type="paragraph" w:styleId="BalloonText">
    <w:name w:val="Balloon Text"/>
    <w:basedOn w:val="Normal"/>
    <w:link w:val="TekstbaloniaChar"/>
    <w:qFormat/>
    <w:rsid w:val="00f34cb5"/>
    <w:pPr/>
    <w:rPr>
      <w:rFonts w:ascii="Tahoma" w:hAnsi="Tahoma" w:cs="Tahoma"/>
      <w:sz w:val="16"/>
      <w:szCs w:val="16"/>
    </w:rPr>
  </w:style>
  <w:style w:type="paragraph" w:styleId="ListParagraph">
    <w:name w:val="List Paragraph"/>
    <w:basedOn w:val="Normal"/>
    <w:uiPriority w:val="34"/>
    <w:qFormat/>
    <w:rsid w:val="00946fd3"/>
    <w:pPr>
      <w:spacing w:before="0" w:after="0"/>
      <w:ind w:left="720" w:hanging="0"/>
      <w:contextualSpacing/>
    </w:pPr>
    <w:rPr/>
  </w:style>
  <w:style w:type="paragraph" w:styleId="Sadrajitablice" w:customStyle="1">
    <w:name w:val="Sadržaji tablice"/>
    <w:basedOn w:val="Normal"/>
    <w:qFormat/>
    <w:rsid w:val="008733f4"/>
    <w:pPr>
      <w:suppressLineNumbers/>
    </w:pPr>
    <w:rPr/>
  </w:style>
  <w:style w:type="paragraph" w:styleId="Naslovtablice" w:customStyle="1">
    <w:name w:val="Naslov tablice"/>
    <w:basedOn w:val="Sadrajitablice"/>
    <w:qFormat/>
    <w:rsid w:val="008733f4"/>
    <w:pPr>
      <w:jc w:val="center"/>
    </w:pPr>
    <w:rPr>
      <w:b/>
      <w:bCs/>
    </w:rPr>
  </w:style>
  <w:style w:type="paragraph" w:styleId="NoSpacing">
    <w:name w:val="No Spacing"/>
    <w:qFormat/>
    <w:rsid w:val="008733f4"/>
    <w:pPr>
      <w:widowControl/>
      <w:suppressAutoHyphens w:val="true"/>
      <w:bidi w:val="0"/>
      <w:jc w:val="left"/>
    </w:pPr>
    <w:rPr>
      <w:rFonts w:ascii="Calibri" w:hAnsi="Calibri" w:eastAsia="Calibri" w:cs="Calibri" w:asciiTheme="minorHAnsi" w:eastAsiaTheme="minorHAnsi" w:hAnsiTheme="minorHAnsi"/>
      <w:color w:val="auto"/>
      <w:kern w:val="0"/>
      <w:sz w:val="22"/>
      <w:szCs w:val="22"/>
      <w:lang w:val="hr-HR" w:eastAsia="en-US" w:bidi="ar-SA"/>
    </w:rPr>
  </w:style>
  <w:style w:type="numbering" w:styleId="NoList" w:default="1">
    <w:name w:val="No List"/>
    <w:uiPriority w:val="99"/>
    <w:semiHidden/>
    <w:unhideWhenUsed/>
    <w:qFormat/>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table" w:styleId="Web-tablica1">
    <w:name w:val="Table Web 1"/>
    <w:basedOn w:val="Obinatablica"/>
    <w:rsid w:val="00230e31"/>
    <w:tblP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cPr>
      <w:shd w:val="clear" w:color="auto" w:fill="auto"/>
    </w:tcPr>
    <w:tblStylePr w:type="firstRow">
      <w:rPr>
        <w:color w:val="auto"/>
      </w:rPr>
      <w:tblPr/>
      <w:tcPr>
        <w:tcBorders>
          <w:tl2br w:val="none" w:color="auto" w:sz="0" w:space="0"/>
          <w:tr2bl w:val="none" w:color="auto" w:sz="0" w:space="0"/>
        </w:tcBorders>
      </w:tcPr>
    </w:tblStylePr>
  </w:style>
  <w:style w:type="table" w:styleId="Reetkatablice">
    <w:name w:val="Table Grid"/>
    <w:basedOn w:val="Obinatablica"/>
    <w:uiPriority w:val="59"/>
    <w:rsid w:val="0041302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mailto:lokalni.proracuni@mfin.hr"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8A40B8-AAB0-4D96-9883-82A6154B5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592</TotalTime>
  <Application>LibreOffice/6.2.4.2$Windows_X86_64 LibreOffice_project/2412653d852ce75f65fbfa83fb7e7b669a126d64</Application>
  <Pages>7</Pages>
  <Words>1911</Words>
  <Characters>12328</Characters>
  <CharactersWithSpaces>14401</CharactersWithSpaces>
  <Paragraphs>222</Paragraphs>
  <Company>OPĆINA MIHOVLJAN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2024-12-13T09:22:00Z</dcterms:created>
  <dc:creator/>
  <dc:description/>
  <dc:language>hr-HR</dc:language>
  <cp:lastModifiedBy/>
  <cp:lastPrinted>2024-12-16T12:18:00Z</cp:lastPrinted>
  <dcterms:modified xsi:type="dcterms:W3CDTF">2025-10-03T08:06:36Z</dcterms:modified>
  <cp:revision>21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OPĆINA MIHOVLJAN</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