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5992" w:type="dxa"/>
        <w:jc w:val="left"/>
        <w:tblInd w:w="-70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11834"/>
      </w:tblGrid>
      <w:tr>
        <w:trPr>
          <w:trHeight w:val="1611" w:hRule="atLeast"/>
        </w:trPr>
        <w:tc>
          <w:tcPr>
            <w:tcW w:w="4158" w:type="dxa"/>
            <w:tcBorders/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473710" cy="548005"/>
                  <wp:effectExtent l="0" t="0" r="0" b="0"/>
                  <wp:docPr id="1" name="Slik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183" t="-2018" r="-2183" b="-2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REPUBLIKA HRVATSKA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KRAPINSKO - ZAGORSKA ŽUPANIJA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OPĆINA MIHOVLJAN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OPĆINSKO VIJEĆE</w:t>
            </w:r>
          </w:p>
        </w:tc>
        <w:tc>
          <w:tcPr>
            <w:tcW w:w="11834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Tahoma" w:hAnsi="Tahom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Tahoma" w:hAnsi="Tahom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jc w:val="right"/>
              <w:rPr>
                <w:rFonts w:ascii="Tahoma" w:hAnsi="Tahoma" w:cs="Tahoma"/>
                <w:b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cs="Tahoma" w:ascii="Tahoma" w:hAnsi="Tahoma"/>
                <w:b/>
                <w:sz w:val="20"/>
                <w:szCs w:val="20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rFonts w:ascii="Tahoma" w:hAnsi="Tahoma" w:cs="Tahoma"/>
                <w:b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eastAsia="en-US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sz w:val="10"/>
          <w:szCs w:val="10"/>
        </w:rPr>
      </w:pPr>
      <w:r>
        <w:rPr>
          <w:rFonts w:cs="Arial Narrow" w:ascii="Arial Narrow" w:hAnsi="Arial Narrow"/>
          <w:sz w:val="10"/>
          <w:szCs w:val="1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KLASA: 400-03/25-01/01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URBROJ: 2140-23-1-25-02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 xml:space="preserve">Mihovljan, 19. rujna 2025.                </w:t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ab/>
        <w:t xml:space="preserve">Na temelju članka 42. Zakona o proračunu (“Narodne novine“ br. 144/21) i članka 39. Statuta Općine Mihovljan („Službeni glasnik KZŽ br. 05/13,  11/18, 08/20 i 08/21), Općinsko vijeće Općine Mihovljan na  svojoj 3. sjednici održanoj dana 19. rujna 2025. donijelo je   </w:t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Normal"/>
        <w:ind w:left="0" w:right="0" w:hanging="0"/>
        <w:jc w:val="center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POLUGODIŠNJI IZVJEŠTAJ O IZVRŠENJU PRORAČUNA OPĆINE MIHOVLJAN </w:t>
      </w:r>
    </w:p>
    <w:p>
      <w:pPr>
        <w:pStyle w:val="Normal"/>
        <w:ind w:left="0" w:right="0" w:hanging="0"/>
        <w:jc w:val="center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ZA RAZDOBLJE OD 01.01.2025. DO 30.06.2025. GODINE</w:t>
      </w:r>
    </w:p>
    <w:p>
      <w:pPr>
        <w:pStyle w:val="Normal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OPĆI DIO</w:t>
      </w:r>
    </w:p>
    <w:p>
      <w:pPr>
        <w:pStyle w:val="Normal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 xml:space="preserve">Članak 1. </w:t>
      </w:r>
    </w:p>
    <w:p>
      <w:pPr>
        <w:pStyle w:val="Normal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Proračun Općine Mihovljan za razdoblje 2025. -2027.g. sastoji se od: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tbl>
      <w:tblPr>
        <w:tblW w:w="15033" w:type="dxa"/>
        <w:jc w:val="left"/>
        <w:tblInd w:w="26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4"/>
        <w:gridCol w:w="1980"/>
        <w:gridCol w:w="1925"/>
        <w:gridCol w:w="1474"/>
        <w:gridCol w:w="1474"/>
        <w:gridCol w:w="1656"/>
      </w:tblGrid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A) RAČUN PRIHODA I RASHODA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PLANIRANO 2024. (EUR)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POLUGODIŠNJE IZVRŠENJE 01.01.-30.06.2024.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eastAsia="Arial Narrow" w:cs="Arial Narrow"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2025. (EUR)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I. IZMJENE I DOPUNE 2025.  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POLUGODIŠNJE IZVRŠENJE 01.01.-30.06.2025.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Prihodi poslovanja (6)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2.830.000,00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604.724,95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3.896.000,00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4.986.000,00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728.564,15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Prihodi od prodaje nefinancijske imovine (7)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24.000,00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24.000,0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4.470,25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UKUPNI PRIHODI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eastAsia="Times New Roman" w:cs="Arial Narrow"/>
                <w:b/>
                <w:b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color w:val="000000"/>
                <w:kern w:val="0"/>
                <w:sz w:val="22"/>
                <w:szCs w:val="22"/>
                <w:lang w:eastAsia="hr-HR"/>
              </w:rPr>
              <w:t>2.840.000,00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b/>
                <w:b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color w:val="000000"/>
                <w:kern w:val="0"/>
                <w:sz w:val="22"/>
                <w:szCs w:val="22"/>
                <w:lang w:eastAsia="hr-HR"/>
              </w:rPr>
              <w:t>604.724,95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b/>
                <w:b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color w:val="000000"/>
                <w:kern w:val="0"/>
                <w:sz w:val="22"/>
                <w:szCs w:val="22"/>
                <w:lang w:eastAsia="hr-HR"/>
              </w:rPr>
              <w:t>3.920.000,00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b/>
                <w:b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color w:val="000000"/>
                <w:kern w:val="0"/>
                <w:sz w:val="22"/>
                <w:szCs w:val="22"/>
                <w:lang w:eastAsia="hr-HR"/>
              </w:rPr>
              <w:t>5.010.000,00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b/>
                <w:b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kern w:val="0"/>
                <w:sz w:val="22"/>
                <w:szCs w:val="22"/>
                <w:lang w:eastAsia="hr-HR"/>
              </w:rPr>
              <w:t>733.034,40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Rashodi poslovanja (3)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1.013.863,56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359.353,73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1.292.863.56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b/>
                <w:b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b/>
                <w:color w:val="000000"/>
                <w:kern w:val="0"/>
                <w:sz w:val="22"/>
                <w:szCs w:val="22"/>
                <w:lang w:eastAsia="hr-HR"/>
              </w:rPr>
              <w:t>1.297.863,96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539.976,05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Rashodi za nabavu nefin. Imovine (4)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3.115.500,00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283.166,09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3.006.500,00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4.091.500,00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eastAsia="Times New Roman" w:cs="Arial Narrow"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eastAsia="hr-HR"/>
              </w:rPr>
              <w:t>254.163,62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UKUPNI RASHODI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4.129.363,56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642.519,82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4.299.363,56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5.389.363,96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color w:val="000000"/>
                <w:sz w:val="22"/>
                <w:szCs w:val="22"/>
              </w:rPr>
              <w:t>794.139,67</w:t>
            </w:r>
          </w:p>
        </w:tc>
      </w:tr>
      <w:tr>
        <w:trPr/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RAZLIKA – VIŠAK/MANJAK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-1.289.363,56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-37.794,87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-379.363,56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379.363,96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color w:val="000000"/>
                <w:sz w:val="22"/>
                <w:szCs w:val="22"/>
              </w:rPr>
              <w:t>61.105,27</w:t>
            </w:r>
          </w:p>
        </w:tc>
      </w:tr>
    </w:tbl>
    <w:p>
      <w:pPr>
        <w:pStyle w:val="Normal"/>
        <w:rPr>
          <w:rFonts w:ascii="Arial Narrow" w:hAnsi="Arial Narrow" w:cs="Arial Narrow"/>
          <w:sz w:val="10"/>
          <w:szCs w:val="10"/>
        </w:rPr>
      </w:pPr>
      <w:r>
        <w:rPr>
          <w:rFonts w:cs="Arial Narrow" w:ascii="Arial Narrow" w:hAnsi="Arial Narrow"/>
          <w:sz w:val="10"/>
          <w:szCs w:val="10"/>
        </w:rPr>
      </w:r>
    </w:p>
    <w:tbl>
      <w:tblPr>
        <w:tblW w:w="15021" w:type="dxa"/>
        <w:jc w:val="left"/>
        <w:tblInd w:w="27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521"/>
        <w:gridCol w:w="1983"/>
        <w:gridCol w:w="1925"/>
        <w:gridCol w:w="1474"/>
        <w:gridCol w:w="1474"/>
        <w:gridCol w:w="1644"/>
      </w:tblGrid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B) RAČUN ZADUŽIVANJA I FINANCIRANJA</w:t>
            </w:r>
          </w:p>
        </w:tc>
        <w:tc>
          <w:tcPr>
            <w:tcW w:w="85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Primici od financijske imovine i zaduživanja (8)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2.060.000,00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Izdaci za financijsku imovinu i otplate zajmova(5)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1.020.636,44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10.318,02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20.636,44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20.636,44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10.318,02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NETO FINANCIRANJE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1.039.363,56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-10.318,02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-20.636,44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-20.636,44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-10.318,02</w:t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  <w:sz w:val="10"/>
          <w:szCs w:val="10"/>
        </w:rPr>
      </w:pPr>
      <w:r>
        <w:rPr>
          <w:rFonts w:cs="Arial Narrow" w:ascii="Arial Narrow" w:hAnsi="Arial Narrow"/>
          <w:b/>
          <w:sz w:val="10"/>
          <w:szCs w:val="10"/>
        </w:rPr>
      </w:r>
    </w:p>
    <w:tbl>
      <w:tblPr>
        <w:tblW w:w="15010" w:type="dxa"/>
        <w:jc w:val="left"/>
        <w:tblInd w:w="289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521"/>
        <w:gridCol w:w="1983"/>
        <w:gridCol w:w="1925"/>
        <w:gridCol w:w="63"/>
        <w:gridCol w:w="1411"/>
        <w:gridCol w:w="1474"/>
        <w:gridCol w:w="1633"/>
      </w:tblGrid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C) RASPOLOŽIVA SREDSTVA IZ PRETHODNIH GODINA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5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Ukupan donos viška/manjka iz prethodne (ih) godina (9)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250.000,00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290.277,81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400.000,00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400.000,00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350.229,67</w:t>
            </w:r>
          </w:p>
        </w:tc>
      </w:tr>
    </w:tbl>
    <w:p>
      <w:pPr>
        <w:pStyle w:val="Normal"/>
        <w:rPr>
          <w:rFonts w:ascii="Arial Narrow" w:hAnsi="Arial Narrow" w:cs="Arial Narrow"/>
          <w:sz w:val="10"/>
          <w:szCs w:val="10"/>
        </w:rPr>
      </w:pPr>
      <w:r>
        <w:rPr>
          <w:rFonts w:cs="Arial Narrow" w:ascii="Arial Narrow" w:hAnsi="Arial Narrow"/>
          <w:sz w:val="10"/>
          <w:szCs w:val="10"/>
        </w:rPr>
      </w:r>
    </w:p>
    <w:tbl>
      <w:tblPr>
        <w:tblW w:w="15071" w:type="dxa"/>
        <w:jc w:val="left"/>
        <w:tblInd w:w="28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538"/>
        <w:gridCol w:w="1950"/>
        <w:gridCol w:w="1925"/>
        <w:gridCol w:w="1525"/>
        <w:gridCol w:w="1525"/>
        <w:gridCol w:w="1608"/>
      </w:tblGrid>
      <w:tr>
        <w:trPr/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PRORAČUN UKUPNO</w:t>
            </w:r>
          </w:p>
        </w:tc>
        <w:tc>
          <w:tcPr>
            <w:tcW w:w="853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PRIHODI UKUPNO        ( A+B+C)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5.150.000,00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895.002,76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4.320.000,00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5.410.000,00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1.083.264,07</w:t>
            </w:r>
          </w:p>
        </w:tc>
      </w:tr>
      <w:tr>
        <w:trPr/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RASHODI UKUPNO      ( A+B+C)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5.150.000,00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652.837,84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283" w:right="113" w:firstLine="17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4.320.000,00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5.410.000,00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804.457,69</w:t>
            </w:r>
          </w:p>
        </w:tc>
      </w:tr>
      <w:tr>
        <w:trPr/>
        <w:tc>
          <w:tcPr>
            <w:tcW w:w="134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REZULTAT NA DAN 30.06.2025. GODINE - VIŠAK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0" w:right="113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278.806,38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Članak 2.</w:t>
      </w:r>
    </w:p>
    <w:p>
      <w:pPr>
        <w:pStyle w:val="Normal"/>
        <w:ind w:left="0" w:right="0" w:firstLine="709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ind w:left="0" w:right="0" w:firstLine="709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Polugodišnji izvještaj o izvršenju Proračuna Općine Mihovljan za razdoblje od 01.01.2025. do 30.06.2025. godine objaviti će se u Službenom glasniku Krapinsko-zagorske županije“ i na web stranici općine Mihovljan.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ab/>
        <w:tab/>
        <w:tab/>
        <w:tab/>
        <w:tab/>
        <w:tab/>
        <w:tab/>
        <w:tab/>
        <w:t xml:space="preserve">       </w:t>
      </w:r>
    </w:p>
    <w:p>
      <w:pPr>
        <w:pStyle w:val="Normal"/>
        <w:ind w:left="9926" w:right="0" w:firstLine="709"/>
        <w:rPr/>
      </w:pP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cs="Arial Narrow" w:ascii="Arial Narrow" w:hAnsi="Arial Narrow"/>
          <w:sz w:val="20"/>
          <w:szCs w:val="20"/>
        </w:rPr>
        <w:t>PREDSJEDNIK OPĆINSKOG VIJEĆA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ab/>
        <w:tab/>
        <w:tab/>
        <w:tab/>
        <w:tab/>
        <w:tab/>
        <w:tab/>
        <w:t xml:space="preserve">     </w:t>
        <w:tab/>
        <w:tab/>
        <w:tab/>
        <w:tab/>
        <w:tab/>
        <w:tab/>
        <w:tab/>
        <w:t xml:space="preserve">                 mr. Silvestar Vučković,dr.vet.med.  </w:t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DOSTAVITI:</w:t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1. Ministarstvo financija, Sektor za financijski i proračunski nadzor, Katančićeva 5, 10000 Zagreb - nadzor</w:t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2. KZŽ, Upravni odjel za poslove Županijske skupštine, Magistratska 1,  49000 Krapina - objava</w:t>
      </w:r>
    </w:p>
    <w:p>
      <w:pPr>
        <w:pStyle w:val="Normal"/>
        <w:spacing w:lineRule="atLeast" w:line="100"/>
        <w:ind w:left="432" w:right="0" w:hanging="432"/>
        <w:jc w:val="both"/>
        <w:rPr/>
      </w:pPr>
      <w:r>
        <w:rPr>
          <w:rFonts w:cs="Arial Narrow" w:ascii="Arial Narrow" w:hAnsi="Arial Narrow"/>
          <w:sz w:val="16"/>
          <w:szCs w:val="16"/>
        </w:rPr>
        <w:t xml:space="preserve">3. Ministarstvo financija, Katančićeva 5, 10000 Zagreb, </w:t>
      </w:r>
      <w:r>
        <w:rPr>
          <w:rFonts w:eastAsia="Times New Roman" w:cs="Arial Narrow" w:ascii="Arial Narrow" w:hAnsi="Arial Narrow"/>
          <w:color w:val="000000"/>
          <w:sz w:val="16"/>
          <w:szCs w:val="16"/>
          <w:lang w:eastAsia="hr-HR"/>
        </w:rPr>
        <w:t xml:space="preserve"> </w:t>
      </w:r>
      <w:hyperlink r:id="rId3">
        <w:r>
          <w:rPr>
            <w:rStyle w:val="Internetskapoveznica"/>
            <w:rFonts w:eastAsia="Times New Roman" w:cs="Arial Narrow" w:ascii="Arial Narrow" w:hAnsi="Arial Narrow"/>
            <w:color w:val="0070C0"/>
            <w:sz w:val="16"/>
            <w:szCs w:val="16"/>
            <w:lang w:eastAsia="hr-HR"/>
          </w:rPr>
          <w:t>lokalni.proracuni@mfin.hr</w:t>
        </w:r>
      </w:hyperlink>
      <w:r>
        <w:rPr>
          <w:rFonts w:cs="Arial Narrow" w:ascii="Arial Narrow" w:hAnsi="Arial Narrow"/>
          <w:sz w:val="16"/>
          <w:szCs w:val="16"/>
        </w:rPr>
        <w:t xml:space="preserve"> </w:t>
      </w:r>
    </w:p>
    <w:p>
      <w:pPr>
        <w:pStyle w:val="Normal"/>
        <w:spacing w:lineRule="atLeast" w:line="100"/>
        <w:ind w:left="432" w:right="0" w:hanging="432"/>
        <w:jc w:val="both"/>
        <w:rPr/>
      </w:pPr>
      <w:r>
        <w:rPr>
          <w:rFonts w:eastAsia="Arial Narrow" w:cs="Arial Narrow" w:ascii="Arial Narrow" w:hAnsi="Arial Narrow"/>
          <w:sz w:val="16"/>
          <w:szCs w:val="16"/>
        </w:rPr>
        <w:t xml:space="preserve">   </w:t>
      </w:r>
      <w:r>
        <w:rPr>
          <w:rFonts w:cs="Arial Narrow" w:ascii="Arial Narrow" w:hAnsi="Arial Narrow"/>
          <w:sz w:val="16"/>
          <w:szCs w:val="16"/>
        </w:rPr>
        <w:t xml:space="preserve">(obavijest o objavi - link objave u Službenom glasniku KZŽ i web stranica Općine Mihovljan) </w:t>
      </w:r>
    </w:p>
    <w:p>
      <w:pPr>
        <w:pStyle w:val="Normal"/>
        <w:spacing w:lineRule="atLeast" w:line="100"/>
        <w:ind w:left="432" w:right="0" w:hanging="432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4. KZŽ, Upravni odjel za financije i proračun, Magistratska 1, 49000 Krapina</w:t>
      </w:r>
    </w:p>
    <w:p>
      <w:pPr>
        <w:pStyle w:val="Normal"/>
        <w:spacing w:lineRule="atLeast" w:line="100"/>
        <w:ind w:left="432" w:right="0" w:hanging="432"/>
        <w:jc w:val="both"/>
        <w:rPr/>
      </w:pPr>
      <w:r>
        <w:rPr>
          <w:rFonts w:eastAsia="Arial Narrow" w:cs="Arial Narrow" w:ascii="Arial Narrow" w:hAnsi="Arial Narrow"/>
          <w:sz w:val="16"/>
          <w:szCs w:val="16"/>
        </w:rPr>
        <w:t xml:space="preserve">   </w:t>
      </w:r>
      <w:r>
        <w:rPr>
          <w:rFonts w:cs="Arial Narrow" w:ascii="Arial Narrow" w:hAnsi="Arial Narrow"/>
          <w:color w:val="0070C0"/>
          <w:sz w:val="16"/>
          <w:szCs w:val="16"/>
        </w:rPr>
        <w:t>financije@kzz.hr</w:t>
      </w:r>
      <w:r>
        <w:rPr>
          <w:rFonts w:cs="Arial Narrow" w:ascii="Arial Narrow" w:hAnsi="Arial Narrow"/>
          <w:sz w:val="16"/>
          <w:szCs w:val="16"/>
        </w:rPr>
        <w:t xml:space="preserve"> (obavijest o objavi-  link objave u Službenom glasniku KZŽ i web stranica Općine Mihovljan) </w:t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5. Općinski načelnik Općine Mihovljan</w:t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6. Prilog Zapisniku</w:t>
      </w:r>
    </w:p>
    <w:p>
      <w:pPr>
        <w:pStyle w:val="Normal"/>
        <w:jc w:val="both"/>
        <w:rPr>
          <w:rFonts w:ascii="Arial Narrow" w:hAnsi="Arial Narrow" w:cs="Arial Narrow"/>
          <w:sz w:val="16"/>
          <w:szCs w:val="16"/>
        </w:rPr>
      </w:pPr>
      <w:r>
        <w:rPr>
          <w:rFonts w:cs="Arial Narrow" w:ascii="Arial Narrow" w:hAnsi="Arial Narrow"/>
          <w:sz w:val="16"/>
          <w:szCs w:val="16"/>
        </w:rPr>
        <w:t>7. U spis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orient="landscape" w:w="16838" w:h="11906"/>
      <w:pgMar w:left="888" w:right="1125" w:header="0" w:top="28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Arial Narrow">
    <w:charset w:val="ee"/>
    <w:family w:val="swiss"/>
    <w:pitch w:val="variable"/>
  </w:font>
  <w:font w:name="Arial narrow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2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hr-H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Zadanifontodlomka">
    <w:name w:val="Zadani font odlomka"/>
    <w:qFormat/>
    <w:rPr/>
  </w:style>
  <w:style w:type="character" w:styleId="Zadanifontodlomka2">
    <w:name w:val="Zadani font odlomka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Calibri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Calibri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Zadanifontodlomka1">
    <w:name w:val="Zadani font odlomka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Internetskapoveznica">
    <w:name w:val="Internetska poveznica"/>
    <w:rPr>
      <w:color w:val="000080"/>
      <w:u w:val="single"/>
      <w:lang w:val="zxx" w:bidi="zxx"/>
    </w:rPr>
  </w:style>
  <w:style w:type="character" w:styleId="Simbolinumeriranja">
    <w:name w:val="Simboli numeriranja"/>
    <w:qFormat/>
    <w:rPr/>
  </w:style>
  <w:style w:type="character" w:styleId="TekstbaloniaChar">
    <w:name w:val="Tekst balončića Char"/>
    <w:qFormat/>
    <w:rPr>
      <w:rFonts w:ascii="Tahoma" w:hAnsi="Tahoma" w:eastAsia="Lucida Sans Unicode" w:cs="Tahoma"/>
      <w:kern w:val="2"/>
      <w:sz w:val="16"/>
      <w:szCs w:val="16"/>
    </w:rPr>
  </w:style>
  <w:style w:type="character" w:styleId="Tijeloteksta2Char">
    <w:name w:val="Tijelo teksta 2 Char"/>
    <w:qFormat/>
    <w:rPr>
      <w:rFonts w:eastAsia="Lucida Sans Unicode"/>
      <w:kern w:val="2"/>
      <w:sz w:val="24"/>
      <w:szCs w:val="24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Popis">
    <w:name w:val="List"/>
    <w:basedOn w:val="Tijeloteksta"/>
    <w:pPr/>
    <w:rPr>
      <w:rFonts w:cs="Tahoma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Opisslike">
    <w:name w:val="Opis slik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slov1">
    <w:name w:val="Naslov1"/>
    <w:basedOn w:val="Normal"/>
    <w:next w:val="Tijeloteksta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balonia">
    <w:name w:val="Tekst balončića"/>
    <w:basedOn w:val="Normal"/>
    <w:qFormat/>
    <w:pPr/>
    <w:rPr>
      <w:rFonts w:ascii="Tahoma" w:hAnsi="Tahoma" w:cs="Tahoma"/>
      <w:sz w:val="16"/>
      <w:szCs w:val="16"/>
      <w:lang w:val="hr-HR"/>
    </w:rPr>
  </w:style>
  <w:style w:type="paragraph" w:styleId="Tijeloteksta21">
    <w:name w:val="Tijelo teksta 21"/>
    <w:basedOn w:val="Normal"/>
    <w:qFormat/>
    <w:pPr>
      <w:spacing w:lineRule="auto" w:line="480" w:before="0" w:after="120"/>
    </w:pPr>
    <w:rPr>
      <w:lang w:val="hr-HR"/>
    </w:rPr>
  </w:style>
  <w:style w:type="paragraph" w:styleId="Bezproreda">
    <w:name w:val="Bez proreda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hr-HR" w:eastAsia="zh-CN" w:bidi="ar-SA"/>
    </w:rPr>
  </w:style>
  <w:style w:type="paragraph" w:styleId="Odlomakpopisa">
    <w:name w:val="Odlomak popisa"/>
    <w:basedOn w:val="Normal"/>
    <w:qFormat/>
    <w:pPr>
      <w:spacing w:before="0" w:after="0"/>
      <w:ind w:left="720" w:right="0" w:hanging="0"/>
      <w:contextualSpacing/>
    </w:pPr>
    <w:rPr>
      <w:kern w:val="2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LibreOffice/6.2.4.2$Windows_X86_64 LibreOffice_project/2412653d852ce75f65fbfa83fb7e7b669a126d64</Application>
  <Pages>2</Pages>
  <Words>378</Words>
  <Characters>2624</Characters>
  <CharactersWithSpaces>3021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Općina Mače</dc:creator>
  <dc:description/>
  <dc:language>hr-HR</dc:language>
  <cp:lastModifiedBy/>
  <cp:lastPrinted>1995-11-21T17:41:00Z</cp:lastPrinted>
  <dcterms:modified xsi:type="dcterms:W3CDTF">2025-10-03T13:46:15Z</dcterms:modified>
  <cp:revision>10</cp:revision>
  <dc:subject/>
  <dc:title/>
</cp:coreProperties>
</file>