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74" w:type="dxa"/>
        <w:jc w:val="left"/>
        <w:tblInd w:w="-43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70"/>
        <w:gridCol w:w="5203"/>
      </w:tblGrid>
      <w:tr>
        <w:trPr>
          <w:trHeight w:val="506" w:hRule="atLeast"/>
        </w:trPr>
        <w:tc>
          <w:tcPr>
            <w:tcW w:w="44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/>
              <w:drawing>
                <wp:inline distT="0" distB="0" distL="0" distR="0">
                  <wp:extent cx="477520" cy="546100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REPUBLIKA HRVATSKA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KRAPINSKO - ZAGORSKA ŽUPANIJA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MIHOVLJAN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OPĆINSKO VIJEĆE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03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/>
      </w:pPr>
      <w:r>
        <w:rPr>
          <w:sz w:val="22"/>
          <w:szCs w:val="22"/>
        </w:rPr>
        <w:t>KLASA: 363-01/23-01/25</w:t>
      </w:r>
    </w:p>
    <w:p>
      <w:pPr>
        <w:pStyle w:val="Normal"/>
        <w:rPr/>
      </w:pPr>
      <w:r>
        <w:rPr>
          <w:sz w:val="22"/>
          <w:szCs w:val="22"/>
        </w:rPr>
        <w:t>URBROJ: 2140-23-1-24-05</w:t>
      </w:r>
    </w:p>
    <w:p>
      <w:pPr>
        <w:pStyle w:val="Normal"/>
        <w:rPr/>
      </w:pPr>
      <w:r>
        <w:rPr>
          <w:sz w:val="22"/>
          <w:szCs w:val="22"/>
        </w:rPr>
        <w:t>Mihovljan, 11. rujna 2024.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>Na temelju članka 72. Zakona o komunalnom gospodarstvu („Narodne novine“ broj 68/18 i 110/18, 32/20) i članka 39. Statuta Općine Mihovljan („Službeni glasnik Krapinsko-zagorske županije“ br. 5/13, 11/18, 8/20, 8/21), Općinsko vijeće Općine Mihovljan na svojoj 2</w:t>
      </w:r>
      <w:r>
        <w:rPr>
          <w:sz w:val="22"/>
          <w:szCs w:val="22"/>
        </w:rPr>
        <w:t>6</w:t>
      </w:r>
      <w:r>
        <w:rPr>
          <w:sz w:val="22"/>
          <w:szCs w:val="22"/>
        </w:rPr>
        <w:t>. sjednici održanoj dana 11. rujna 2024. godine, donijelo je</w:t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bCs/>
          <w:color w:val="00000A"/>
          <w:sz w:val="22"/>
          <w:szCs w:val="22"/>
        </w:rPr>
        <w:t>IZVRŠENJE PROGRAMA ODRŽAVANJA OBJEKATA KOMUNALNE INFRASTRUKTURE NA PODRUČJU OPĆINE MIHOVLJAN ZA RAZDOBLJE 01.01.-30.06.2024. GODINE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>
      <w:pPr>
        <w:pStyle w:val="Normal"/>
        <w:jc w:val="both"/>
        <w:rPr/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Ovim Programom održavanja komunalne infrastrukture u 2024. godini na području Općine Mihovljan u skladu s predvidivim sredstvima i izvorima financiranja, određuju radovi na održavanju objekata i uređaja komunalne infrastrukture koji se razumijevaju obavljanjem komunalnih djelatnosti: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održavanja nerazvrstanih cesta i javno prometnih površina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održavanja javnih zelenih površina i parkova 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održavanja groblja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održavanje javne rasvjete</w:t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2.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>Ovim se Programom utvrđuje opis i opseg poslova održavanja s procjenom pojedinih troškova, po djelatnostima, te iskaz financijskih sredstava potrebnih za ostvarivanje Programa s naznakom izvora financiranja. Program održavanja komunalne infrastrukture u 2024. godini izrađen je u skladu s predvidivim sredstvima i izvornima financiranja utvrđenih Proračunom Općine Mihovljan za 2024. godinu.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3.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Sredstva za ostvarivanje Programa održavanja komunalne infrastrukture u 2024. godini planirana su u iznosu od 127.300,00 EUR, a osigurat će se iz sljedećih izvora: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Reetkatablice"/>
        <w:tblW w:w="99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9"/>
        <w:gridCol w:w="478"/>
        <w:gridCol w:w="3"/>
        <w:gridCol w:w="5787"/>
        <w:gridCol w:w="1575"/>
        <w:gridCol w:w="8"/>
        <w:gridCol w:w="1607"/>
      </w:tblGrid>
      <w:tr>
        <w:trPr/>
        <w:tc>
          <w:tcPr>
            <w:tcW w:w="469" w:type="dxa"/>
            <w:tcBorders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R.b.</w:t>
            </w:r>
          </w:p>
        </w:tc>
        <w:tc>
          <w:tcPr>
            <w:tcW w:w="579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1575" w:type="dxa"/>
            <w:tcBorders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Planirano ukupno (EUR)</w:t>
            </w:r>
          </w:p>
        </w:tc>
        <w:tc>
          <w:tcPr>
            <w:tcW w:w="1615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Izvršeno  (EUR)</w:t>
            </w:r>
          </w:p>
        </w:tc>
      </w:tr>
      <w:tr>
        <w:trPr/>
        <w:tc>
          <w:tcPr>
            <w:tcW w:w="950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370" w:type="dxa"/>
            <w:gridSpan w:val="3"/>
            <w:tcBorders>
              <w:right w:val="nil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Opći prihodi i primici (61, 64, 681)</w:t>
            </w:r>
          </w:p>
        </w:tc>
        <w:tc>
          <w:tcPr>
            <w:tcW w:w="1607" w:type="dxa"/>
            <w:tcBorders/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6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79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od poreza</w:t>
            </w:r>
          </w:p>
        </w:tc>
        <w:tc>
          <w:tcPr>
            <w:tcW w:w="15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85.150,00</w:t>
            </w:r>
          </w:p>
        </w:tc>
        <w:tc>
          <w:tcPr>
            <w:tcW w:w="1615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46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79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od imovine (naknade za koncesiju)</w:t>
            </w:r>
          </w:p>
        </w:tc>
        <w:tc>
          <w:tcPr>
            <w:tcW w:w="15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3.500,00</w:t>
            </w:r>
          </w:p>
        </w:tc>
        <w:tc>
          <w:tcPr>
            <w:tcW w:w="1615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729,98</w:t>
            </w:r>
          </w:p>
        </w:tc>
      </w:tr>
      <w:tr>
        <w:trPr/>
        <w:tc>
          <w:tcPr>
            <w:tcW w:w="46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79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Kazne i upravne mjere</w:t>
            </w:r>
          </w:p>
        </w:tc>
        <w:tc>
          <w:tcPr>
            <w:tcW w:w="15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  <w:tc>
          <w:tcPr>
            <w:tcW w:w="1615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95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7370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60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46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790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Groblje: prihod od davanja u  zakup grobnih mjesta</w:t>
            </w:r>
          </w:p>
        </w:tc>
        <w:tc>
          <w:tcPr>
            <w:tcW w:w="157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Spacing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8.000,00</w:t>
            </w:r>
          </w:p>
        </w:tc>
        <w:tc>
          <w:tcPr>
            <w:tcW w:w="1615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 w:val="false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1.327,23</w:t>
            </w:r>
          </w:p>
        </w:tc>
      </w:tr>
      <w:tr>
        <w:trPr/>
        <w:tc>
          <w:tcPr>
            <w:tcW w:w="46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790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Groblje: prihod od izd. Rješenja za gradnju betonskih okvira</w:t>
            </w:r>
          </w:p>
        </w:tc>
        <w:tc>
          <w:tcPr>
            <w:tcW w:w="157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Spacing"/>
              <w:widowControl w:val="false"/>
              <w:jc w:val="right"/>
              <w:rPr>
                <w:sz w:val="22"/>
                <w:szCs w:val="22"/>
              </w:rPr>
            </w:pPr>
            <w:bookmarkStart w:id="0" w:name="__DdeLink__831_697091794"/>
            <w:r>
              <w:rPr>
                <w:rFonts w:cs="Times New Roman" w:ascii="Times New Roman" w:hAnsi="Times New Roman"/>
                <w:sz w:val="22"/>
                <w:szCs w:val="22"/>
              </w:rPr>
              <w:t>600,00</w:t>
            </w:r>
            <w:bookmarkEnd w:id="0"/>
          </w:p>
        </w:tc>
        <w:tc>
          <w:tcPr>
            <w:tcW w:w="1615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 w:val="false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238,92</w:t>
            </w:r>
          </w:p>
        </w:tc>
      </w:tr>
      <w:tr>
        <w:trPr/>
        <w:tc>
          <w:tcPr>
            <w:tcW w:w="46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790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Groblje: prihod od izd. Odobrenja za opločenje grobnih mjesta</w:t>
            </w:r>
          </w:p>
        </w:tc>
        <w:tc>
          <w:tcPr>
            <w:tcW w:w="157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Spacing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600,00</w:t>
            </w:r>
          </w:p>
        </w:tc>
        <w:tc>
          <w:tcPr>
            <w:tcW w:w="1615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 w:val="false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108,29</w:t>
            </w:r>
          </w:p>
        </w:tc>
      </w:tr>
      <w:tr>
        <w:trPr/>
        <w:tc>
          <w:tcPr>
            <w:tcW w:w="46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790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Groblje: grobne usluge (usluge ukopa i ostale usluge)</w:t>
            </w:r>
          </w:p>
        </w:tc>
        <w:tc>
          <w:tcPr>
            <w:tcW w:w="157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Spacing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12.000,00</w:t>
            </w:r>
          </w:p>
        </w:tc>
        <w:tc>
          <w:tcPr>
            <w:tcW w:w="1615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 w:val="false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3.769,67</w:t>
            </w:r>
          </w:p>
        </w:tc>
      </w:tr>
      <w:tr>
        <w:trPr/>
        <w:tc>
          <w:tcPr>
            <w:tcW w:w="95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7370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Prihodi za posebne namjene (651, 652, 653)</w:t>
            </w:r>
          </w:p>
        </w:tc>
        <w:tc>
          <w:tcPr>
            <w:tcW w:w="160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6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79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Šumski doprinos</w:t>
            </w:r>
          </w:p>
        </w:tc>
        <w:tc>
          <w:tcPr>
            <w:tcW w:w="15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1.000,00</w:t>
            </w:r>
          </w:p>
        </w:tc>
        <w:tc>
          <w:tcPr>
            <w:tcW w:w="1615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6,69</w:t>
            </w:r>
          </w:p>
        </w:tc>
      </w:tr>
      <w:tr>
        <w:trPr/>
        <w:tc>
          <w:tcPr>
            <w:tcW w:w="46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8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79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 od grobne naknade</w:t>
            </w:r>
          </w:p>
        </w:tc>
        <w:tc>
          <w:tcPr>
            <w:tcW w:w="157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22.800,00</w:t>
            </w:r>
          </w:p>
        </w:tc>
        <w:tc>
          <w:tcPr>
            <w:tcW w:w="16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16.000,00</w:t>
            </w:r>
          </w:p>
        </w:tc>
      </w:tr>
      <w:tr>
        <w:trPr/>
        <w:tc>
          <w:tcPr>
            <w:tcW w:w="46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8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79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 od komunalne naknade</w:t>
            </w:r>
          </w:p>
        </w:tc>
        <w:tc>
          <w:tcPr>
            <w:tcW w:w="157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30.000,00</w:t>
            </w:r>
          </w:p>
        </w:tc>
        <w:tc>
          <w:tcPr>
            <w:tcW w:w="16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15.059,11</w:t>
            </w:r>
          </w:p>
        </w:tc>
      </w:tr>
      <w:tr>
        <w:trPr>
          <w:trHeight w:val="330" w:hRule="atLeast"/>
        </w:trPr>
        <w:tc>
          <w:tcPr>
            <w:tcW w:w="46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79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 od komunalnog doprinosa</w:t>
            </w:r>
          </w:p>
        </w:tc>
        <w:tc>
          <w:tcPr>
            <w:tcW w:w="157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615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46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8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79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Vodni doprinos</w:t>
            </w:r>
          </w:p>
        </w:tc>
        <w:tc>
          <w:tcPr>
            <w:tcW w:w="157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6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123,20</w:t>
            </w:r>
          </w:p>
        </w:tc>
      </w:tr>
      <w:tr>
        <w:trPr/>
        <w:tc>
          <w:tcPr>
            <w:tcW w:w="46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8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79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Refundacija građana za el. energiju za javnu rasvjetu</w:t>
            </w:r>
          </w:p>
        </w:tc>
        <w:tc>
          <w:tcPr>
            <w:tcW w:w="157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6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11,96</w:t>
            </w:r>
          </w:p>
        </w:tc>
      </w:tr>
      <w:tr>
        <w:trPr/>
        <w:tc>
          <w:tcPr>
            <w:tcW w:w="46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8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79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Sufinanciranje građana – uređenje odvodnih jaraka</w:t>
            </w:r>
          </w:p>
        </w:tc>
        <w:tc>
          <w:tcPr>
            <w:tcW w:w="157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1.000,00</w:t>
            </w:r>
          </w:p>
        </w:tc>
        <w:tc>
          <w:tcPr>
            <w:tcW w:w="16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469" w:type="dxa"/>
            <w:tcBorders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79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575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167.300,00</w:t>
            </w:r>
          </w:p>
        </w:tc>
        <w:tc>
          <w:tcPr>
            <w:tcW w:w="1615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37.375,05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b/>
          <w:sz w:val="22"/>
          <w:szCs w:val="22"/>
        </w:rPr>
        <w:t>Članak 4.</w:t>
      </w:r>
    </w:p>
    <w:p>
      <w:pPr>
        <w:pStyle w:val="Normal"/>
        <w:spacing w:lineRule="auto" w:line="264"/>
        <w:rPr>
          <w:sz w:val="22"/>
          <w:szCs w:val="22"/>
        </w:rPr>
      </w:pPr>
      <w:r>
        <w:rPr>
          <w:sz w:val="22"/>
          <w:szCs w:val="22"/>
        </w:rPr>
        <w:tab/>
        <w:t xml:space="preserve">Sredstva iz članka 3. ovog Programa utrošit će se za sljedeće namjene: </w:t>
      </w:r>
    </w:p>
    <w:p>
      <w:pPr>
        <w:pStyle w:val="Normal"/>
        <w:spacing w:lineRule="auto" w:line="26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64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1. ODRŽAVANJE NERAZVRSTANIH CESTA</w:t>
      </w:r>
    </w:p>
    <w:p>
      <w:pPr>
        <w:pStyle w:val="Normal"/>
        <w:spacing w:lineRule="auto" w:line="264"/>
        <w:jc w:val="both"/>
        <w:rPr>
          <w:sz w:val="22"/>
          <w:szCs w:val="22"/>
        </w:rPr>
      </w:pPr>
      <w:r>
        <w:rPr>
          <w:sz w:val="22"/>
          <w:szCs w:val="22"/>
        </w:rPr>
        <w:tab/>
        <w:t>Pod 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ceste.</w:t>
      </w:r>
    </w:p>
    <w:p>
      <w:pPr>
        <w:pStyle w:val="Normal"/>
        <w:spacing w:lineRule="auto" w:line="264"/>
        <w:jc w:val="both"/>
        <w:rPr>
          <w:sz w:val="22"/>
          <w:szCs w:val="22"/>
        </w:rPr>
      </w:pPr>
      <w:r>
        <w:rPr>
          <w:sz w:val="22"/>
          <w:szCs w:val="22"/>
        </w:rPr>
        <w:tab/>
        <w:t>Dionice nerazvrstanih cesta, potrebne količine kamenog materijala, betonske cijevi i usluge građevinskom mehanizacijom utvrdit će načelnik na prijedlog Mjesnih odbora, a zavisno o visini sredstava po Mjesnim odborima.</w:t>
      </w:r>
    </w:p>
    <w:p>
      <w:pPr>
        <w:pStyle w:val="Normal"/>
        <w:spacing w:lineRule="auto" w:line="264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Reetkatablice"/>
        <w:tblW w:w="999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4"/>
        <w:gridCol w:w="3620"/>
        <w:gridCol w:w="1124"/>
        <w:gridCol w:w="1309"/>
        <w:gridCol w:w="2319"/>
        <w:gridCol w:w="991"/>
      </w:tblGrid>
      <w:tr>
        <w:trPr>
          <w:trHeight w:val="397" w:hRule="atLeast"/>
        </w:trPr>
        <w:tc>
          <w:tcPr>
            <w:tcW w:w="9997" w:type="dxa"/>
            <w:gridSpan w:val="6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ODRŽAVANJE NERAZVRSTANIH CESTA </w:t>
            </w:r>
          </w:p>
        </w:tc>
      </w:tr>
      <w:tr>
        <w:trPr>
          <w:trHeight w:val="397" w:hRule="atLeast"/>
        </w:trPr>
        <w:tc>
          <w:tcPr>
            <w:tcW w:w="6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red.br.</w:t>
            </w:r>
          </w:p>
        </w:tc>
        <w:tc>
          <w:tcPr>
            <w:tcW w:w="362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Planirano  (EUR)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Izvršeno  (EUR)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Izvori financiranja</w:t>
            </w:r>
          </w:p>
        </w:tc>
        <w:tc>
          <w:tcPr>
            <w:tcW w:w="9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Pozicija</w:t>
            </w:r>
          </w:p>
        </w:tc>
      </w:tr>
      <w:tr>
        <w:trPr>
          <w:trHeight w:val="340" w:hRule="atLeast"/>
        </w:trPr>
        <w:tc>
          <w:tcPr>
            <w:tcW w:w="6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62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Prijevoz materijala po cestama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Prijevoz kamenog materijala, betonskih cijevi i sl.)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15.000,00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2.551,74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Općine=15.000,00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(43- prihodi za posebne namjene)</w:t>
            </w:r>
          </w:p>
        </w:tc>
        <w:tc>
          <w:tcPr>
            <w:tcW w:w="9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3232.11</w:t>
            </w:r>
          </w:p>
        </w:tc>
      </w:tr>
      <w:tr>
        <w:trPr>
          <w:trHeight w:val="340" w:hRule="atLeast"/>
        </w:trPr>
        <w:tc>
          <w:tcPr>
            <w:tcW w:w="6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62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 strojem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Sukladno planovima mjesnih odbora i potreba na terenu (kopanje odvodnih jama, razgrtanje kamenog materijala, i ostali potrebni radovi na ugradnji kamenog materijala) 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1.058,14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Općine=10.000,00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(43- prihodi za posebne namjene)</w:t>
            </w:r>
          </w:p>
        </w:tc>
        <w:tc>
          <w:tcPr>
            <w:tcW w:w="9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3232.12</w:t>
            </w:r>
          </w:p>
        </w:tc>
      </w:tr>
      <w:tr>
        <w:trPr>
          <w:trHeight w:val="340" w:hRule="atLeast"/>
        </w:trPr>
        <w:tc>
          <w:tcPr>
            <w:tcW w:w="6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62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Košnja bankina uz nerazvrstanu cestu i zemljišta u vl. Općine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Sukladno planovima mjesnih odbora i potreba na terenu (košenje/malčiranje bankina i pojasa cestovnog zemljišta, obrezivanje granja i raslinja, malčiranje javnih površina općine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17.000,00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6.635,00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Općine=17.000,00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(43- </w:t>
            </w:r>
            <w:bookmarkStart w:id="1" w:name="__DdeLink__1600_3760088224"/>
            <w:r>
              <w:rPr>
                <w:rFonts w:cs="Times New Roman" w:ascii="Times New Roman" w:hAnsi="Times New Roman"/>
                <w:sz w:val="16"/>
                <w:szCs w:val="16"/>
              </w:rPr>
              <w:t>prihodi za posebne namjene</w:t>
            </w:r>
            <w:bookmarkEnd w:id="1"/>
            <w:r>
              <w:rPr>
                <w:rFonts w:cs="Times New Roman"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3232.17</w:t>
            </w:r>
          </w:p>
        </w:tc>
      </w:tr>
      <w:tr>
        <w:trPr>
          <w:trHeight w:val="340" w:hRule="atLeast"/>
        </w:trPr>
        <w:tc>
          <w:tcPr>
            <w:tcW w:w="6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362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Izdaci za zimsku službu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Nabava i doprema soli i sitnog agregata, strojno čišćenje snijega, posipavanje 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8.000,00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2.986,21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Općine=8.000,00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(43- prihodi za posebne namjene)</w:t>
            </w:r>
          </w:p>
        </w:tc>
        <w:tc>
          <w:tcPr>
            <w:tcW w:w="9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3234.90</w:t>
            </w:r>
          </w:p>
        </w:tc>
      </w:tr>
      <w:tr>
        <w:trPr>
          <w:trHeight w:val="340" w:hRule="atLeast"/>
        </w:trPr>
        <w:tc>
          <w:tcPr>
            <w:tcW w:w="6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62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Kameni materijal za ceste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Nabava kamenog materijala raspoređuje se prema planovima mjesnih odbora i sukladno potrebama na terenu 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12.000,00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4.577,42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Općine=12.000,00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(11- opći prihodi i primici)</w:t>
            </w:r>
          </w:p>
        </w:tc>
        <w:tc>
          <w:tcPr>
            <w:tcW w:w="9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3224.41</w:t>
            </w:r>
          </w:p>
        </w:tc>
      </w:tr>
      <w:tr>
        <w:trPr>
          <w:trHeight w:val="340" w:hRule="atLeast"/>
        </w:trPr>
        <w:tc>
          <w:tcPr>
            <w:tcW w:w="6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62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Cijevi za ceste i odvodnju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Sukladno planovima mjesnih odbora i potrebama na terenu (betonske cijevi, kanalice,rešetke i sl.) 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Općine=3.000,00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(11- opći prihodi i primici)</w:t>
            </w:r>
          </w:p>
        </w:tc>
        <w:tc>
          <w:tcPr>
            <w:tcW w:w="9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3224.42</w:t>
            </w:r>
          </w:p>
        </w:tc>
      </w:tr>
      <w:tr>
        <w:trPr>
          <w:trHeight w:val="340" w:hRule="atLeast"/>
        </w:trPr>
        <w:tc>
          <w:tcPr>
            <w:tcW w:w="6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62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Prometni znakovi, putokazi i prometna ogledala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Sukladno planovima mjesnih odbora i potrebama na terenu (prometni znakovi,putokazi i prometna ogledala) 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2.000,00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1.137,88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Općine=2.000,00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(11- opći prihodi i primici)</w:t>
            </w:r>
          </w:p>
        </w:tc>
        <w:tc>
          <w:tcPr>
            <w:tcW w:w="9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3224.45</w:t>
            </w:r>
          </w:p>
        </w:tc>
      </w:tr>
      <w:tr>
        <w:trPr>
          <w:trHeight w:val="340" w:hRule="atLeast"/>
        </w:trPr>
        <w:tc>
          <w:tcPr>
            <w:tcW w:w="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62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SVEUKUPNO:</w:t>
            </w:r>
          </w:p>
        </w:tc>
        <w:tc>
          <w:tcPr>
            <w:tcW w:w="1124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67.000,00</w:t>
            </w:r>
          </w:p>
        </w:tc>
        <w:tc>
          <w:tcPr>
            <w:tcW w:w="461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18.946,39</w:t>
            </w:r>
          </w:p>
        </w:tc>
      </w:tr>
    </w:tbl>
    <w:p>
      <w:pPr>
        <w:pStyle w:val="Normal"/>
        <w:spacing w:lineRule="auto" w:line="26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6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64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2. ODRŽAVANJE JAVNIH ZELENIH POVRŠINA I PARKOVA</w:t>
      </w:r>
    </w:p>
    <w:p>
      <w:pPr>
        <w:pStyle w:val="Normal"/>
        <w:spacing w:lineRule="auto" w:line="264"/>
        <w:jc w:val="both"/>
        <w:rPr/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Programom održavanja javnih zelenih površina na području Općine Mihovljan za 2024. godinu obuhvaćeni su svi uređeni dijelovi naselja Općine, a u ostalim naseljima uređeni parkovi i dječja igrališta.</w:t>
      </w:r>
    </w:p>
    <w:p>
      <w:pPr>
        <w:pStyle w:val="Normal"/>
        <w:spacing w:lineRule="auto" w:line="264"/>
        <w:jc w:val="both"/>
        <w:rPr>
          <w:sz w:val="22"/>
          <w:szCs w:val="22"/>
        </w:rPr>
      </w:pPr>
      <w:r>
        <w:rPr>
          <w:sz w:val="22"/>
          <w:szCs w:val="22"/>
        </w:rPr>
        <w:tab/>
        <w:t>Pod održavanjem javnih zelenih površina podrazumijeva se košnja, obrezivanje i sakupljanje biološkog otpada s javnih zelenih površina, obnova, održavanje i njega drveća, ukrasnog grmlja i drugog bilja, popločenih i nasipanih površina u parkovima, opreme na dječjim igralištima, fotosanitarna zaštita bilja i biljnog materijala za potrebe održavanja i drugi poslovi potrebni za održavanje tih površina.</w:t>
      </w:r>
    </w:p>
    <w:p>
      <w:pPr>
        <w:pStyle w:val="Normal"/>
        <w:spacing w:lineRule="auto" w:line="264"/>
        <w:jc w:val="both"/>
        <w:rPr/>
      </w:pPr>
      <w:r>
        <w:rPr>
          <w:sz w:val="22"/>
          <w:szCs w:val="22"/>
        </w:rPr>
        <w:tab/>
        <w:t>Održavanje javnih zelenih površina obuhvaća njegu postojećih travnatih površina i uređenje novih, održavanje šljunčanih i popločenih staza. Njegu i sadnju ukrasnog parkovnog bilja (sezonsko cvijeće, trajnice, ruže, živice, grmlje i drveće), utovar, odvoz i deponiranje smeća sakupljenog održavanjem zelenih površina, održavanje parkovne opreme (klupe, košarice za otpatke, zaštitni stupići i klamerice, ukrasne žardinjere i oglasni panoi), redovno održavanje sprava na dječjim igralištima, proljetno čišćenje sipine i pranje dijela gradskih ulica s izrađenom oborinskom kanalizacijom, tzv. malu zimsku službu (čišćenje i uklanjanje snijega i leda na javnim prometnim površinama za kretanje pješaka, javnim parkiralištima i autobusnim stajalištima), prigodna uređenja (zastave, božićne jelke, dekorativna rasvjeta) i održavanje ploča za označavanje ulica.</w:t>
      </w:r>
    </w:p>
    <w:p>
      <w:pPr>
        <w:pStyle w:val="Normal"/>
        <w:spacing w:lineRule="auto" w:line="264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64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Reetkatablice"/>
        <w:tblW w:w="999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4"/>
        <w:gridCol w:w="3620"/>
        <w:gridCol w:w="1124"/>
        <w:gridCol w:w="1309"/>
        <w:gridCol w:w="2319"/>
        <w:gridCol w:w="991"/>
      </w:tblGrid>
      <w:tr>
        <w:trPr>
          <w:trHeight w:val="397" w:hRule="atLeast"/>
        </w:trPr>
        <w:tc>
          <w:tcPr>
            <w:tcW w:w="9997" w:type="dxa"/>
            <w:gridSpan w:val="6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ODRŽAVANJE JAVNIH ZELENIH POVRŠINA</w:t>
            </w:r>
          </w:p>
        </w:tc>
      </w:tr>
      <w:tr>
        <w:trPr>
          <w:trHeight w:val="397" w:hRule="atLeast"/>
        </w:trPr>
        <w:tc>
          <w:tcPr>
            <w:tcW w:w="6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red.br.</w:t>
            </w:r>
          </w:p>
        </w:tc>
        <w:tc>
          <w:tcPr>
            <w:tcW w:w="362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Planirano ukupno (EUR)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Izvršenje  (EUR)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Izvori financiranja</w:t>
            </w:r>
          </w:p>
        </w:tc>
        <w:tc>
          <w:tcPr>
            <w:tcW w:w="9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Pozicija</w:t>
            </w:r>
          </w:p>
        </w:tc>
      </w:tr>
      <w:tr>
        <w:trPr>
          <w:trHeight w:val="340" w:hRule="atLeast"/>
        </w:trPr>
        <w:tc>
          <w:tcPr>
            <w:tcW w:w="6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62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Uređenje odvodnih jaraka (koji nisu u nadležnosti hr voda)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Strojni iskop odvodnih jaraka 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 1.000,00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(43- prihodi za posebne namjene)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 1.000,00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(11- opći prihodi i primici)</w:t>
            </w:r>
          </w:p>
        </w:tc>
        <w:tc>
          <w:tcPr>
            <w:tcW w:w="9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3232.13</w:t>
            </w:r>
          </w:p>
        </w:tc>
      </w:tr>
      <w:tr>
        <w:trPr>
          <w:trHeight w:val="340" w:hRule="atLeast"/>
        </w:trPr>
        <w:tc>
          <w:tcPr>
            <w:tcW w:w="6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62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Sanacija divljih odlagališta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čišćenje i odvoz smeća sa divljih deponija 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1.500,00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630,00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Općine=1.500,00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(11- opći prihodi i primici)</w:t>
            </w:r>
          </w:p>
        </w:tc>
        <w:tc>
          <w:tcPr>
            <w:tcW w:w="9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3234.41</w:t>
            </w:r>
          </w:p>
        </w:tc>
      </w:tr>
      <w:tr>
        <w:trPr>
          <w:trHeight w:val="340" w:hRule="atLeast"/>
        </w:trPr>
        <w:tc>
          <w:tcPr>
            <w:tcW w:w="6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62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uređenje centra Mihovljana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Košnja, flaksanje, čišćenje, sadnja cvijeća, obrezivanje drveća, zalijevanje, prskanje, nabava žardinjera, parkovnog cvijeća, zemlje, nabava i popravak klupa, košara za otpad i sl.   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957,11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Općine=5.000,00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(31 -vlastiti prihodi)</w:t>
            </w:r>
          </w:p>
        </w:tc>
        <w:tc>
          <w:tcPr>
            <w:tcW w:w="9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3224.46</w:t>
            </w:r>
          </w:p>
        </w:tc>
      </w:tr>
      <w:tr>
        <w:trPr>
          <w:trHeight w:val="340" w:hRule="atLeast"/>
        </w:trPr>
        <w:tc>
          <w:tcPr>
            <w:tcW w:w="6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362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Stari grad – uređenje zemljišta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 strojem, košenje, flakasanje i sl. 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Općine=5.000,00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(11- opći prihodi i primici)</w:t>
            </w:r>
          </w:p>
        </w:tc>
        <w:tc>
          <w:tcPr>
            <w:tcW w:w="9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3232.14</w:t>
            </w:r>
          </w:p>
        </w:tc>
      </w:tr>
      <w:tr>
        <w:trPr>
          <w:trHeight w:val="340" w:hRule="atLeast"/>
        </w:trPr>
        <w:tc>
          <w:tcPr>
            <w:tcW w:w="63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3620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Uređenje raspela uz nerazvrstane ceste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Uređenje zelene površine, dovoz zemlje, sijanje trave i bilja/cvijeća, uređenje raspela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309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19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Općine=10.000,00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(11- opći prihodi i primici)</w:t>
            </w:r>
          </w:p>
        </w:tc>
        <w:tc>
          <w:tcPr>
            <w:tcW w:w="9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16"/>
                <w:szCs w:val="16"/>
              </w:rPr>
              <w:t>3232.24</w:t>
            </w:r>
          </w:p>
        </w:tc>
      </w:tr>
      <w:tr>
        <w:trPr>
          <w:trHeight w:val="340" w:hRule="atLeast"/>
        </w:trPr>
        <w:tc>
          <w:tcPr>
            <w:tcW w:w="63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3620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Centar – uređenje zelene površine (kraj šetnice)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Uređenje zelene površine, dovoz zemlje,sijanje trave, sadnja drveća i bilja/cvijeća 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6.000,00</w:t>
            </w:r>
          </w:p>
        </w:tc>
        <w:tc>
          <w:tcPr>
            <w:tcW w:w="1309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2.333,40</w:t>
            </w:r>
          </w:p>
        </w:tc>
        <w:tc>
          <w:tcPr>
            <w:tcW w:w="2319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Općine=6.000,00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(11- opći prihodi i primici)</w:t>
            </w:r>
          </w:p>
        </w:tc>
        <w:tc>
          <w:tcPr>
            <w:tcW w:w="9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16"/>
                <w:szCs w:val="16"/>
              </w:rPr>
              <w:t>3232.27</w:t>
            </w:r>
          </w:p>
        </w:tc>
      </w:tr>
      <w:tr>
        <w:trPr>
          <w:trHeight w:val="340" w:hRule="atLeast"/>
        </w:trPr>
        <w:tc>
          <w:tcPr>
            <w:tcW w:w="63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3620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Održavanje javnih površina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Uređenje zelene površine, dovoz zemlje,sijanje trave, sadnja drveća i bilja/cvijeća, košnja, flaksanje i sl.</w:t>
            </w:r>
          </w:p>
        </w:tc>
        <w:tc>
          <w:tcPr>
            <w:tcW w:w="1124" w:type="dxa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8.000,00</w:t>
            </w:r>
          </w:p>
        </w:tc>
        <w:tc>
          <w:tcPr>
            <w:tcW w:w="1309" w:type="dxa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19" w:type="dxa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Općine=8.000,00 EUR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(11- opći prihodi i primici)</w:t>
            </w:r>
          </w:p>
        </w:tc>
        <w:tc>
          <w:tcPr>
            <w:tcW w:w="99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16"/>
                <w:szCs w:val="16"/>
              </w:rPr>
              <w:t>3234.93</w:t>
            </w:r>
          </w:p>
        </w:tc>
      </w:tr>
      <w:tr>
        <w:trPr>
          <w:trHeight w:val="340" w:hRule="atLeast"/>
        </w:trPr>
        <w:tc>
          <w:tcPr>
            <w:tcW w:w="6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6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SVEUKUPNO:</w:t>
            </w:r>
          </w:p>
        </w:tc>
        <w:tc>
          <w:tcPr>
            <w:tcW w:w="1124" w:type="dxa"/>
            <w:tcBorders>
              <w:top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>37.500,00</w:t>
            </w:r>
          </w:p>
        </w:tc>
        <w:tc>
          <w:tcPr>
            <w:tcW w:w="4619" w:type="dxa"/>
            <w:gridSpan w:val="3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3.920,51 </w:t>
            </w:r>
          </w:p>
        </w:tc>
      </w:tr>
    </w:tbl>
    <w:p>
      <w:pPr>
        <w:pStyle w:val="Normal"/>
        <w:spacing w:lineRule="auto" w:line="264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64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64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3. ODRŽAVANJE GROBLJA</w:t>
      </w:r>
    </w:p>
    <w:p>
      <w:pPr>
        <w:pStyle w:val="Normal"/>
        <w:spacing w:lineRule="auto" w:line="264"/>
        <w:rPr>
          <w:sz w:val="22"/>
          <w:szCs w:val="22"/>
        </w:rPr>
      </w:pPr>
      <w:r>
        <w:rPr>
          <w:sz w:val="22"/>
          <w:szCs w:val="22"/>
        </w:rPr>
        <w:tab/>
        <w:t>Pod održavanjem groblja podrazumijeva se održavanje prostora i zgrada za obavljanje ispraćaja i ukopa pokojnika te uređivanje putova, zelenih i drugih površina unutar groblja.</w:t>
      </w:r>
    </w:p>
    <w:p>
      <w:pPr>
        <w:pStyle w:val="Normal"/>
        <w:spacing w:lineRule="auto" w:line="264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Reetkatablice"/>
        <w:tblW w:w="999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3685"/>
        <w:gridCol w:w="1124"/>
        <w:gridCol w:w="1309"/>
        <w:gridCol w:w="2319"/>
        <w:gridCol w:w="993"/>
      </w:tblGrid>
      <w:tr>
        <w:trPr>
          <w:trHeight w:val="397" w:hRule="atLeast"/>
        </w:trPr>
        <w:tc>
          <w:tcPr>
            <w:tcW w:w="9997" w:type="dxa"/>
            <w:gridSpan w:val="6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ODRŽAVANJE GROBLJA</w:t>
            </w:r>
          </w:p>
        </w:tc>
      </w:tr>
      <w:tr>
        <w:trPr>
          <w:trHeight w:val="397" w:hRule="atLeast"/>
        </w:trPr>
        <w:tc>
          <w:tcPr>
            <w:tcW w:w="56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red.br.</w:t>
            </w:r>
          </w:p>
        </w:tc>
        <w:tc>
          <w:tcPr>
            <w:tcW w:w="36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Planirano ukupno (EUR)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Izvršenje  (EUR)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Izvori financiranja</w:t>
            </w:r>
          </w:p>
        </w:tc>
        <w:tc>
          <w:tcPr>
            <w:tcW w:w="9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Pozicija</w:t>
            </w:r>
          </w:p>
        </w:tc>
      </w:tr>
      <w:tr>
        <w:trPr>
          <w:trHeight w:val="340" w:hRule="atLeast"/>
        </w:trPr>
        <w:tc>
          <w:tcPr>
            <w:tcW w:w="56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36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Prijevoz materijala – mjesno groblje Mihovljan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Dovoz kamenog materijala za staze na groblju 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Općine=400,00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(43- prihodi za posebne namjene)</w:t>
            </w:r>
          </w:p>
        </w:tc>
        <w:tc>
          <w:tcPr>
            <w:tcW w:w="9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3232.10</w:t>
            </w:r>
          </w:p>
        </w:tc>
      </w:tr>
      <w:tr>
        <w:trPr>
          <w:trHeight w:val="340" w:hRule="atLeast"/>
        </w:trPr>
        <w:tc>
          <w:tcPr>
            <w:tcW w:w="56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6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Kameni materijal – mjesno groblje Mihovljan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Kameni materijal za staze na groblju 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Općine=400,00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(43- prihodi za posebne namjene)</w:t>
            </w:r>
          </w:p>
        </w:tc>
        <w:tc>
          <w:tcPr>
            <w:tcW w:w="9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3224.40</w:t>
            </w:r>
          </w:p>
        </w:tc>
      </w:tr>
      <w:tr>
        <w:trPr>
          <w:trHeight w:val="340" w:hRule="atLeast"/>
        </w:trPr>
        <w:tc>
          <w:tcPr>
            <w:tcW w:w="56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36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Izdaci za odvoz smeća (kontejnera) sa mjesnog groblja</w:t>
            </w:r>
            <w:r>
              <w:rPr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Odvoz smeća u kontejnerima sa mjesnog groblja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3.570,00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Općine=10.000,00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(43- prihodi za posebne namjene)</w:t>
            </w:r>
          </w:p>
        </w:tc>
        <w:tc>
          <w:tcPr>
            <w:tcW w:w="9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3234.21</w:t>
            </w:r>
          </w:p>
        </w:tc>
      </w:tr>
      <w:tr>
        <w:trPr>
          <w:trHeight w:val="340" w:hRule="atLeast"/>
        </w:trPr>
        <w:tc>
          <w:tcPr>
            <w:tcW w:w="567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3685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Održavanje Mjesnog groblja 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16"/>
                <w:szCs w:val="16"/>
              </w:rPr>
              <w:t>održavanje groblja, održavanje parkirališta na groblju, održavanje prostora oko kontejnera,  održavanje prostora i zgrada  za obavljanje ispraćaja i ukopa pokojnika, uređenje puteva, staza, zelenih i drugih površina unutar groblja i  usluga vezanih za groblje i usl.ukopa</w:t>
            </w:r>
          </w:p>
        </w:tc>
        <w:tc>
          <w:tcPr>
            <w:tcW w:w="1124" w:type="dxa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12.000,00</w:t>
            </w:r>
          </w:p>
        </w:tc>
        <w:tc>
          <w:tcPr>
            <w:tcW w:w="130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5.813,62</w:t>
            </w:r>
          </w:p>
        </w:tc>
        <w:tc>
          <w:tcPr>
            <w:tcW w:w="2319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Općine=12.000,00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(31- vlastiti prihodi)</w:t>
            </w:r>
          </w:p>
        </w:tc>
        <w:tc>
          <w:tcPr>
            <w:tcW w:w="993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3234.98</w:t>
            </w:r>
          </w:p>
        </w:tc>
      </w:tr>
      <w:tr>
        <w:trPr>
          <w:trHeight w:val="340" w:hRule="atLeast"/>
        </w:trPr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SVEUKUPNO:</w:t>
            </w:r>
          </w:p>
        </w:tc>
        <w:tc>
          <w:tcPr>
            <w:tcW w:w="1124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22.800,00</w:t>
            </w:r>
          </w:p>
        </w:tc>
        <w:tc>
          <w:tcPr>
            <w:tcW w:w="4621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9.383,62</w:t>
            </w:r>
          </w:p>
        </w:tc>
      </w:tr>
    </w:tbl>
    <w:p>
      <w:pPr>
        <w:pStyle w:val="Normal"/>
        <w:spacing w:lineRule="auto" w:line="264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64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64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64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64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64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64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64"/>
        <w:rPr/>
      </w:pPr>
      <w:r>
        <w:rPr>
          <w:b/>
          <w:sz w:val="22"/>
          <w:szCs w:val="22"/>
        </w:rPr>
        <w:t>4. ODRŽAVANJE JAVNE RASVJETE</w:t>
      </w:r>
    </w:p>
    <w:p>
      <w:pPr>
        <w:pStyle w:val="Normal"/>
        <w:spacing w:lineRule="auto" w:line="264"/>
        <w:rPr>
          <w:sz w:val="22"/>
          <w:szCs w:val="22"/>
        </w:rPr>
      </w:pPr>
      <w:r>
        <w:rPr>
          <w:sz w:val="22"/>
          <w:szCs w:val="22"/>
        </w:rPr>
        <w:tab/>
        <w:t>Pod održavanjem javne rasvjete podrazumijeva se upravljanje i održavanje instalacija javne rasvjete; uključujući podmirivanje troškova električne energije za javnu rasvjetu,  za rasvjetljivanje površina javne namjene.</w:t>
      </w:r>
    </w:p>
    <w:p>
      <w:pPr>
        <w:pStyle w:val="Normal"/>
        <w:spacing w:lineRule="auto" w:line="264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Reetkatablice"/>
        <w:tblW w:w="999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8"/>
        <w:gridCol w:w="3696"/>
        <w:gridCol w:w="1124"/>
        <w:gridCol w:w="1309"/>
        <w:gridCol w:w="2319"/>
        <w:gridCol w:w="991"/>
      </w:tblGrid>
      <w:tr>
        <w:trPr>
          <w:trHeight w:val="397" w:hRule="atLeast"/>
        </w:trPr>
        <w:tc>
          <w:tcPr>
            <w:tcW w:w="9997" w:type="dxa"/>
            <w:gridSpan w:val="6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ODRŽAVANJE JAVNE RASVJETE</w:t>
            </w:r>
          </w:p>
        </w:tc>
      </w:tr>
      <w:tr>
        <w:trPr>
          <w:trHeight w:val="397" w:hRule="atLeast"/>
        </w:trPr>
        <w:tc>
          <w:tcPr>
            <w:tcW w:w="55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red.br.</w:t>
            </w:r>
          </w:p>
        </w:tc>
        <w:tc>
          <w:tcPr>
            <w:tcW w:w="369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Planirano ukupno (EUR)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Izvršenje  (EUR)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Izvori financiranja</w:t>
            </w:r>
          </w:p>
        </w:tc>
        <w:tc>
          <w:tcPr>
            <w:tcW w:w="9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Pozicija</w:t>
            </w:r>
          </w:p>
        </w:tc>
      </w:tr>
      <w:tr>
        <w:trPr>
          <w:trHeight w:val="340" w:hRule="atLeast"/>
        </w:trPr>
        <w:tc>
          <w:tcPr>
            <w:tcW w:w="55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69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Izdaci za održavanje javne rasvjete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Usluga postave i izmjene rasvjetnih tijela/LED rasvjeta 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7.000,00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2.437,50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Općine=7.000,00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(43- prihodi za posebne namjene)</w:t>
            </w:r>
          </w:p>
        </w:tc>
        <w:tc>
          <w:tcPr>
            <w:tcW w:w="9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3232.21</w:t>
            </w:r>
          </w:p>
        </w:tc>
      </w:tr>
      <w:tr>
        <w:trPr>
          <w:trHeight w:val="340" w:hRule="atLeast"/>
        </w:trPr>
        <w:tc>
          <w:tcPr>
            <w:tcW w:w="55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69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Dijelovi za javnu rasvjetu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Nabava led rasvjeta i ostalog materijala potrebnog  za održavanje 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Općine=3.000,00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(11- opći prihodi i primici)</w:t>
            </w:r>
          </w:p>
        </w:tc>
        <w:tc>
          <w:tcPr>
            <w:tcW w:w="9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3224.44</w:t>
            </w:r>
          </w:p>
        </w:tc>
      </w:tr>
      <w:tr>
        <w:trPr>
          <w:trHeight w:val="340" w:hRule="atLeast"/>
        </w:trPr>
        <w:tc>
          <w:tcPr>
            <w:tcW w:w="55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69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Trošak električne energije za javnu rasvjetu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potrošnja električne energije za javnu rasvjetu </w:t>
            </w:r>
          </w:p>
        </w:tc>
        <w:tc>
          <w:tcPr>
            <w:tcW w:w="1124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30.000,00</w:t>
            </w:r>
          </w:p>
        </w:tc>
        <w:tc>
          <w:tcPr>
            <w:tcW w:w="130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2.687,03</w:t>
            </w:r>
          </w:p>
        </w:tc>
        <w:tc>
          <w:tcPr>
            <w:tcW w:w="2319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Općine=30.000,00 EUR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(43- prihodi za posebne namjene)</w:t>
            </w:r>
          </w:p>
        </w:tc>
        <w:tc>
          <w:tcPr>
            <w:tcW w:w="9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3223.11</w:t>
            </w:r>
          </w:p>
        </w:tc>
      </w:tr>
      <w:tr>
        <w:trPr>
          <w:trHeight w:val="340" w:hRule="atLeast"/>
        </w:trPr>
        <w:tc>
          <w:tcPr>
            <w:tcW w:w="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6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SVEUKUPNO:</w:t>
            </w:r>
          </w:p>
        </w:tc>
        <w:tc>
          <w:tcPr>
            <w:tcW w:w="1124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40.000,00</w:t>
            </w:r>
          </w:p>
        </w:tc>
        <w:tc>
          <w:tcPr>
            <w:tcW w:w="461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5.124,53</w:t>
            </w:r>
          </w:p>
        </w:tc>
      </w:tr>
    </w:tbl>
    <w:p>
      <w:pPr>
        <w:pStyle w:val="Normal"/>
        <w:spacing w:lineRule="auto" w:line="264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64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5.</w:t>
      </w:r>
    </w:p>
    <w:p>
      <w:pPr>
        <w:pStyle w:val="Normal"/>
        <w:ind w:firstLine="567"/>
        <w:jc w:val="both"/>
        <w:rPr/>
      </w:pPr>
      <w:r>
        <w:rPr>
          <w:color w:val="000000"/>
          <w:sz w:val="22"/>
          <w:szCs w:val="22"/>
        </w:rPr>
        <w:t>Ovo Izvršenje sastavni je dio Polugodišnjeg obračuna Proračuna Općine Mihovljan i objaviti će se u „Službenom glasniku Krapinsko-zagorske županije“.</w:t>
      </w:r>
    </w:p>
    <w:p>
      <w:pPr>
        <w:pStyle w:val="Normal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left="637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        mr. Silvestar Vučković dr.vet.med.                                                                        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prostornog uređenja, graditeljstva i državne imovine, Ul. Republike Austrije 20, 10000 Zagreb - na nadzor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0"/>
          <w:szCs w:val="20"/>
        </w:rPr>
        <w:t xml:space="preserve">Ministarstvo financija, Katančićeva 5, 10000 Zagreb, </w:t>
      </w:r>
      <w:hyperlink r:id="rId3">
        <w:r>
          <w:rPr>
            <w:rStyle w:val="Internetskapoveznica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707" w:header="0" w:top="314" w:footer="0" w:bottom="3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embedSystemFonts/>
  <w:defaultTabStop w:val="709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c48a3"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2">
    <w:name w:val="Heading 2"/>
    <w:basedOn w:val="Normal"/>
    <w:next w:val="Normal"/>
    <w:qFormat/>
    <w:rsid w:val="00bc48a3"/>
    <w:pPr>
      <w:keepNext w:val="true"/>
      <w:jc w:val="center"/>
      <w:outlineLvl w:val="1"/>
    </w:pPr>
    <w:rPr>
      <w:rFonts w:ascii="Garamond" w:hAnsi="Garamond"/>
      <w:sz w:val="44"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103a79"/>
    <w:rPr/>
  </w:style>
  <w:style w:type="character" w:styleId="TekstbaloniaChar" w:customStyle="1">
    <w:name w:val="Tekst balončića Char"/>
    <w:basedOn w:val="DefaultParagraphFont"/>
    <w:link w:val="Tekstbalonia"/>
    <w:qFormat/>
    <w:rsid w:val="00f34cb5"/>
    <w:rPr>
      <w:rFonts w:ascii="Tahoma" w:hAnsi="Tahoma" w:cs="Tahoma"/>
      <w:sz w:val="16"/>
      <w:szCs w:val="16"/>
    </w:rPr>
  </w:style>
  <w:style w:type="character" w:styleId="Internetskapoveznica" w:customStyle="1">
    <w:name w:val="Internetska poveznica"/>
    <w:basedOn w:val="DefaultParagraphFont"/>
    <w:unhideWhenUsed/>
    <w:rsid w:val="00180f15"/>
    <w:rPr>
      <w:color w:val="0000FF" w:themeColor="hyperlink"/>
      <w:u w:val="single"/>
    </w:rPr>
  </w:style>
  <w:style w:type="character" w:styleId="ListLabel1" w:customStyle="1">
    <w:name w:val="ListLabel 1"/>
    <w:qFormat/>
    <w:rsid w:val="008733f4"/>
    <w:rPr>
      <w:rFonts w:ascii="Arial Narrow" w:hAnsi="Arial Narrow" w:cs="Tahoma"/>
      <w:sz w:val="22"/>
      <w:szCs w:val="22"/>
    </w:rPr>
  </w:style>
  <w:style w:type="character" w:styleId="ListLabel2" w:customStyle="1">
    <w:name w:val="ListLabel 2"/>
    <w:qFormat/>
    <w:rsid w:val="008733f4"/>
    <w:rPr>
      <w:rFonts w:ascii="Arial Narrow" w:hAnsi="Arial Narrow" w:cs="Tahoma"/>
      <w:sz w:val="22"/>
      <w:szCs w:val="22"/>
    </w:rPr>
  </w:style>
  <w:style w:type="character" w:styleId="ListLabel3" w:customStyle="1">
    <w:name w:val="ListLabel 3"/>
    <w:qFormat/>
    <w:rsid w:val="008733f4"/>
    <w:rPr>
      <w:rFonts w:ascii="Arial Narrow" w:hAnsi="Arial Narrow" w:cs="Tahoma"/>
      <w:sz w:val="22"/>
      <w:szCs w:val="22"/>
    </w:rPr>
  </w:style>
  <w:style w:type="character" w:styleId="ListLabel4">
    <w:name w:val="ListLabel 4"/>
    <w:qFormat/>
    <w:rPr>
      <w:sz w:val="20"/>
      <w:szCs w:val="20"/>
    </w:rPr>
  </w:style>
  <w:style w:type="character" w:styleId="ListLabel5">
    <w:name w:val="ListLabel 5"/>
    <w:qFormat/>
    <w:rPr>
      <w:sz w:val="20"/>
      <w:szCs w:val="20"/>
    </w:rPr>
  </w:style>
  <w:style w:type="character" w:styleId="ListLabel6">
    <w:name w:val="ListLabel 6"/>
    <w:qFormat/>
    <w:rPr>
      <w:sz w:val="20"/>
      <w:szCs w:val="20"/>
    </w:rPr>
  </w:style>
  <w:style w:type="character" w:styleId="ListLabel7">
    <w:name w:val="ListLabel 7"/>
    <w:qFormat/>
    <w:rPr>
      <w:sz w:val="20"/>
      <w:szCs w:val="20"/>
    </w:rPr>
  </w:style>
  <w:style w:type="character" w:styleId="ListLabel8">
    <w:name w:val="ListLabel 8"/>
    <w:qFormat/>
    <w:rPr>
      <w:sz w:val="20"/>
      <w:szCs w:val="20"/>
    </w:rPr>
  </w:style>
  <w:style w:type="character" w:styleId="ListLabel9">
    <w:name w:val="ListLabel 9"/>
    <w:qFormat/>
    <w:rPr>
      <w:sz w:val="20"/>
      <w:szCs w:val="20"/>
    </w:rPr>
  </w:style>
  <w:style w:type="character" w:styleId="ListLabel10">
    <w:name w:val="ListLabel 10"/>
    <w:qFormat/>
    <w:rPr>
      <w:sz w:val="20"/>
      <w:szCs w:val="20"/>
    </w:rPr>
  </w:style>
  <w:style w:type="character" w:styleId="ListLabel11">
    <w:name w:val="ListLabel 11"/>
    <w:qFormat/>
    <w:rPr>
      <w:sz w:val="20"/>
      <w:szCs w:val="20"/>
    </w:rPr>
  </w:style>
  <w:style w:type="character" w:styleId="ListLabel200">
    <w:name w:val="ListLabel 200"/>
    <w:qFormat/>
    <w:rPr>
      <w:rFonts w:cs="Wingdings"/>
    </w:rPr>
  </w:style>
  <w:style w:type="character" w:styleId="ListLabel199">
    <w:name w:val="ListLabel 199"/>
    <w:qFormat/>
    <w:rPr>
      <w:rFonts w:cs="Courier New"/>
    </w:rPr>
  </w:style>
  <w:style w:type="character" w:styleId="ListLabel198">
    <w:name w:val="ListLabel 198"/>
    <w:qFormat/>
    <w:rPr>
      <w:rFonts w:cs="Symbol"/>
    </w:rPr>
  </w:style>
  <w:style w:type="character" w:styleId="ListLabel197">
    <w:name w:val="ListLabel 197"/>
    <w:qFormat/>
    <w:rPr>
      <w:rFonts w:cs="Wingdings"/>
    </w:rPr>
  </w:style>
  <w:style w:type="character" w:styleId="ListLabel196">
    <w:name w:val="ListLabel 196"/>
    <w:qFormat/>
    <w:rPr>
      <w:rFonts w:cs="Courier New"/>
    </w:rPr>
  </w:style>
  <w:style w:type="character" w:styleId="ListLabel195">
    <w:name w:val="ListLabel 195"/>
    <w:qFormat/>
    <w:rPr>
      <w:rFonts w:cs="Symbol"/>
    </w:rPr>
  </w:style>
  <w:style w:type="character" w:styleId="ListLabel194">
    <w:name w:val="ListLabel 194"/>
    <w:qFormat/>
    <w:rPr>
      <w:rFonts w:cs="Wingdings"/>
    </w:rPr>
  </w:style>
  <w:style w:type="character" w:styleId="ListLabel193">
    <w:name w:val="ListLabel 193"/>
    <w:qFormat/>
    <w:rPr>
      <w:rFonts w:cs="Courier New"/>
    </w:rPr>
  </w:style>
  <w:style w:type="character" w:styleId="ListLabel192">
    <w:name w:val="ListLabel 192"/>
    <w:qFormat/>
    <w:rPr>
      <w:rFonts w:cs="Times New Roman"/>
      <w:sz w:val="22"/>
    </w:rPr>
  </w:style>
  <w:style w:type="character" w:styleId="ListLabel191">
    <w:name w:val="ListLabel 191"/>
    <w:qFormat/>
    <w:rPr>
      <w:rFonts w:cs="Wingdings"/>
    </w:rPr>
  </w:style>
  <w:style w:type="character" w:styleId="ListLabel190">
    <w:name w:val="ListLabel 190"/>
    <w:qFormat/>
    <w:rPr>
      <w:rFonts w:cs="Courier New"/>
    </w:rPr>
  </w:style>
  <w:style w:type="character" w:styleId="ListLabel189">
    <w:name w:val="ListLabel 189"/>
    <w:qFormat/>
    <w:rPr>
      <w:rFonts w:cs="Symbol"/>
    </w:rPr>
  </w:style>
  <w:style w:type="character" w:styleId="ListLabel188">
    <w:name w:val="ListLabel 188"/>
    <w:qFormat/>
    <w:rPr>
      <w:rFonts w:cs="Wingdings"/>
    </w:rPr>
  </w:style>
  <w:style w:type="character" w:styleId="ListLabel187">
    <w:name w:val="ListLabel 187"/>
    <w:qFormat/>
    <w:rPr>
      <w:rFonts w:cs="Courier New"/>
    </w:rPr>
  </w:style>
  <w:style w:type="character" w:styleId="ListLabel186">
    <w:name w:val="ListLabel 186"/>
    <w:qFormat/>
    <w:rPr>
      <w:rFonts w:cs="Symbol"/>
    </w:rPr>
  </w:style>
  <w:style w:type="character" w:styleId="ListLabel185">
    <w:name w:val="ListLabel 185"/>
    <w:qFormat/>
    <w:rPr>
      <w:rFonts w:cs="Wingdings"/>
    </w:rPr>
  </w:style>
  <w:style w:type="character" w:styleId="ListLabel184">
    <w:name w:val="ListLabel 184"/>
    <w:qFormat/>
    <w:rPr>
      <w:rFonts w:cs="Courier New"/>
    </w:rPr>
  </w:style>
  <w:style w:type="character" w:styleId="ListLabel183">
    <w:name w:val="ListLabel 183"/>
    <w:qFormat/>
    <w:rPr>
      <w:rFonts w:cs="Times New Roman"/>
      <w:sz w:val="22"/>
    </w:rPr>
  </w:style>
  <w:style w:type="character" w:styleId="ListLabel182">
    <w:name w:val="ListLabel 182"/>
    <w:qFormat/>
    <w:rPr>
      <w:rFonts w:cs="Wingdings"/>
    </w:rPr>
  </w:style>
  <w:style w:type="character" w:styleId="ListLabel181">
    <w:name w:val="ListLabel 181"/>
    <w:qFormat/>
    <w:rPr>
      <w:rFonts w:cs="Courier New"/>
    </w:rPr>
  </w:style>
  <w:style w:type="character" w:styleId="ListLabel180">
    <w:name w:val="ListLabel 180"/>
    <w:qFormat/>
    <w:rPr>
      <w:rFonts w:cs="Symbol"/>
    </w:rPr>
  </w:style>
  <w:style w:type="character" w:styleId="ListLabel179">
    <w:name w:val="ListLabel 179"/>
    <w:qFormat/>
    <w:rPr>
      <w:rFonts w:cs="Wingdings"/>
    </w:rPr>
  </w:style>
  <w:style w:type="character" w:styleId="ListLabel178">
    <w:name w:val="ListLabel 178"/>
    <w:qFormat/>
    <w:rPr>
      <w:rFonts w:cs="Courier New"/>
    </w:rPr>
  </w:style>
  <w:style w:type="character" w:styleId="ListLabel177">
    <w:name w:val="ListLabel 177"/>
    <w:qFormat/>
    <w:rPr>
      <w:rFonts w:cs="Symbol"/>
    </w:rPr>
  </w:style>
  <w:style w:type="character" w:styleId="ListLabel176">
    <w:name w:val="ListLabel 176"/>
    <w:qFormat/>
    <w:rPr>
      <w:rFonts w:cs="Wingdings"/>
    </w:rPr>
  </w:style>
  <w:style w:type="character" w:styleId="ListLabel175">
    <w:name w:val="ListLabel 175"/>
    <w:qFormat/>
    <w:rPr>
      <w:rFonts w:cs="Courier New"/>
    </w:rPr>
  </w:style>
  <w:style w:type="character" w:styleId="ListLabel174">
    <w:name w:val="ListLabel 174"/>
    <w:qFormat/>
    <w:rPr>
      <w:rFonts w:cs="Times New Roman"/>
      <w:sz w:val="22"/>
    </w:rPr>
  </w:style>
  <w:style w:type="character" w:styleId="ListLabel173">
    <w:name w:val="ListLabel 173"/>
    <w:qFormat/>
    <w:rPr>
      <w:rFonts w:cs="Wingdings"/>
    </w:rPr>
  </w:style>
  <w:style w:type="character" w:styleId="ListLabel172">
    <w:name w:val="ListLabel 172"/>
    <w:qFormat/>
    <w:rPr>
      <w:rFonts w:cs="Courier New"/>
    </w:rPr>
  </w:style>
  <w:style w:type="character" w:styleId="ListLabel171">
    <w:name w:val="ListLabel 171"/>
    <w:qFormat/>
    <w:rPr>
      <w:rFonts w:cs="Symbol"/>
    </w:rPr>
  </w:style>
  <w:style w:type="character" w:styleId="ListLabel170">
    <w:name w:val="ListLabel 170"/>
    <w:qFormat/>
    <w:rPr>
      <w:rFonts w:cs="Wingdings"/>
    </w:rPr>
  </w:style>
  <w:style w:type="character" w:styleId="ListLabel169">
    <w:name w:val="ListLabel 169"/>
    <w:qFormat/>
    <w:rPr>
      <w:rFonts w:cs="Courier New"/>
    </w:rPr>
  </w:style>
  <w:style w:type="character" w:styleId="ListLabel168">
    <w:name w:val="ListLabel 168"/>
    <w:qFormat/>
    <w:rPr>
      <w:rFonts w:cs="Symbol"/>
    </w:rPr>
  </w:style>
  <w:style w:type="character" w:styleId="ListLabel167">
    <w:name w:val="ListLabel 167"/>
    <w:qFormat/>
    <w:rPr>
      <w:rFonts w:cs="Wingdings"/>
    </w:rPr>
  </w:style>
  <w:style w:type="character" w:styleId="ListLabel166">
    <w:name w:val="ListLabel 166"/>
    <w:qFormat/>
    <w:rPr>
      <w:rFonts w:cs="Courier New"/>
    </w:rPr>
  </w:style>
  <w:style w:type="character" w:styleId="ListLabel165">
    <w:name w:val="ListLabel 165"/>
    <w:qFormat/>
    <w:rPr>
      <w:rFonts w:cs="Times New Roman"/>
      <w:sz w:val="22"/>
    </w:rPr>
  </w:style>
  <w:style w:type="character" w:styleId="ListLabel164">
    <w:name w:val="ListLabel 164"/>
    <w:qFormat/>
    <w:rPr>
      <w:rFonts w:cs="Wingdings"/>
    </w:rPr>
  </w:style>
  <w:style w:type="character" w:styleId="ListLabel163">
    <w:name w:val="ListLabel 163"/>
    <w:qFormat/>
    <w:rPr>
      <w:rFonts w:cs="Courier New"/>
    </w:rPr>
  </w:style>
  <w:style w:type="character" w:styleId="ListLabel162">
    <w:name w:val="ListLabel 162"/>
    <w:qFormat/>
    <w:rPr>
      <w:rFonts w:cs="Symbol"/>
    </w:rPr>
  </w:style>
  <w:style w:type="character" w:styleId="ListLabel161">
    <w:name w:val="ListLabel 161"/>
    <w:qFormat/>
    <w:rPr>
      <w:rFonts w:cs="Wingdings"/>
    </w:rPr>
  </w:style>
  <w:style w:type="character" w:styleId="ListLabel160">
    <w:name w:val="ListLabel 160"/>
    <w:qFormat/>
    <w:rPr>
      <w:rFonts w:cs="Courier New"/>
    </w:rPr>
  </w:style>
  <w:style w:type="character" w:styleId="ListLabel159">
    <w:name w:val="ListLabel 159"/>
    <w:qFormat/>
    <w:rPr>
      <w:rFonts w:cs="Symbol"/>
    </w:rPr>
  </w:style>
  <w:style w:type="character" w:styleId="ListLabel158">
    <w:name w:val="ListLabel 158"/>
    <w:qFormat/>
    <w:rPr>
      <w:rFonts w:cs="Wingdings"/>
    </w:rPr>
  </w:style>
  <w:style w:type="character" w:styleId="ListLabel157">
    <w:name w:val="ListLabel 157"/>
    <w:qFormat/>
    <w:rPr>
      <w:rFonts w:cs="Courier New"/>
    </w:rPr>
  </w:style>
  <w:style w:type="character" w:styleId="ListLabel156">
    <w:name w:val="ListLabel 156"/>
    <w:qFormat/>
    <w:rPr>
      <w:rFonts w:cs="Times New Roman"/>
      <w:sz w:val="22"/>
    </w:rPr>
  </w:style>
  <w:style w:type="character" w:styleId="ListLabel155">
    <w:name w:val="ListLabel 155"/>
    <w:qFormat/>
    <w:rPr>
      <w:rFonts w:cs="Wingdings"/>
    </w:rPr>
  </w:style>
  <w:style w:type="character" w:styleId="ListLabel154">
    <w:name w:val="ListLabel 154"/>
    <w:qFormat/>
    <w:rPr>
      <w:rFonts w:cs="Courier New"/>
    </w:rPr>
  </w:style>
  <w:style w:type="character" w:styleId="ListLabel153">
    <w:name w:val="ListLabel 153"/>
    <w:qFormat/>
    <w:rPr>
      <w:rFonts w:cs="Symbol"/>
    </w:rPr>
  </w:style>
  <w:style w:type="character" w:styleId="ListLabel152">
    <w:name w:val="ListLabel 152"/>
    <w:qFormat/>
    <w:rPr>
      <w:rFonts w:cs="Wingdings"/>
    </w:rPr>
  </w:style>
  <w:style w:type="character" w:styleId="ListLabel151">
    <w:name w:val="ListLabel 151"/>
    <w:qFormat/>
    <w:rPr>
      <w:rFonts w:cs="Courier New"/>
    </w:rPr>
  </w:style>
  <w:style w:type="character" w:styleId="ListLabel150">
    <w:name w:val="ListLabel 150"/>
    <w:qFormat/>
    <w:rPr>
      <w:rFonts w:cs="Symbol"/>
    </w:rPr>
  </w:style>
  <w:style w:type="character" w:styleId="ListLabel149">
    <w:name w:val="ListLabel 149"/>
    <w:qFormat/>
    <w:rPr>
      <w:rFonts w:cs="Wingdings"/>
    </w:rPr>
  </w:style>
  <w:style w:type="character" w:styleId="ListLabel148">
    <w:name w:val="ListLabel 148"/>
    <w:qFormat/>
    <w:rPr>
      <w:rFonts w:cs="Courier New"/>
    </w:rPr>
  </w:style>
  <w:style w:type="character" w:styleId="ListLabel147">
    <w:name w:val="ListLabel 147"/>
    <w:qFormat/>
    <w:rPr>
      <w:rFonts w:cs="Times New Roman"/>
      <w:sz w:val="22"/>
    </w:rPr>
  </w:style>
  <w:style w:type="character" w:styleId="ListLabel146">
    <w:name w:val="ListLabel 146"/>
    <w:qFormat/>
    <w:rPr>
      <w:rFonts w:cs="Wingdings"/>
    </w:rPr>
  </w:style>
  <w:style w:type="character" w:styleId="ListLabel145">
    <w:name w:val="ListLabel 145"/>
    <w:qFormat/>
    <w:rPr>
      <w:rFonts w:cs="Courier New"/>
    </w:rPr>
  </w:style>
  <w:style w:type="character" w:styleId="ListLabel144">
    <w:name w:val="ListLabel 144"/>
    <w:qFormat/>
    <w:rPr>
      <w:rFonts w:cs="Symbol"/>
    </w:rPr>
  </w:style>
  <w:style w:type="character" w:styleId="ListLabel143">
    <w:name w:val="ListLabel 143"/>
    <w:qFormat/>
    <w:rPr>
      <w:rFonts w:cs="Wingdings"/>
    </w:rPr>
  </w:style>
  <w:style w:type="character" w:styleId="ListLabel142">
    <w:name w:val="ListLabel 142"/>
    <w:qFormat/>
    <w:rPr>
      <w:rFonts w:cs="Courier New"/>
    </w:rPr>
  </w:style>
  <w:style w:type="character" w:styleId="ListLabel141">
    <w:name w:val="ListLabel 141"/>
    <w:qFormat/>
    <w:rPr>
      <w:rFonts w:cs="Symbol"/>
    </w:rPr>
  </w:style>
  <w:style w:type="character" w:styleId="ListLabel140">
    <w:name w:val="ListLabel 140"/>
    <w:qFormat/>
    <w:rPr>
      <w:rFonts w:cs="Wingdings"/>
    </w:rPr>
  </w:style>
  <w:style w:type="character" w:styleId="ListLabel139">
    <w:name w:val="ListLabel 139"/>
    <w:qFormat/>
    <w:rPr>
      <w:rFonts w:cs="Courier New"/>
    </w:rPr>
  </w:style>
  <w:style w:type="character" w:styleId="ListLabel138">
    <w:name w:val="ListLabel 138"/>
    <w:qFormat/>
    <w:rPr>
      <w:rFonts w:cs="Times New Roman"/>
      <w:sz w:val="22"/>
    </w:rPr>
  </w:style>
  <w:style w:type="character" w:styleId="ListLabel137">
    <w:name w:val="ListLabel 137"/>
    <w:qFormat/>
    <w:rPr>
      <w:rFonts w:cs="Wingdings"/>
    </w:rPr>
  </w:style>
  <w:style w:type="character" w:styleId="ListLabel136">
    <w:name w:val="ListLabel 136"/>
    <w:qFormat/>
    <w:rPr>
      <w:rFonts w:cs="Courier New"/>
    </w:rPr>
  </w:style>
  <w:style w:type="character" w:styleId="ListLabel135">
    <w:name w:val="ListLabel 135"/>
    <w:qFormat/>
    <w:rPr>
      <w:rFonts w:cs="Symbol"/>
    </w:rPr>
  </w:style>
  <w:style w:type="character" w:styleId="ListLabel134">
    <w:name w:val="ListLabel 134"/>
    <w:qFormat/>
    <w:rPr>
      <w:rFonts w:cs="Wingdings"/>
    </w:rPr>
  </w:style>
  <w:style w:type="character" w:styleId="ListLabel133">
    <w:name w:val="ListLabel 133"/>
    <w:qFormat/>
    <w:rPr>
      <w:rFonts w:cs="Courier New"/>
    </w:rPr>
  </w:style>
  <w:style w:type="character" w:styleId="ListLabel132">
    <w:name w:val="ListLabel 132"/>
    <w:qFormat/>
    <w:rPr>
      <w:rFonts w:cs="Symbol"/>
    </w:rPr>
  </w:style>
  <w:style w:type="character" w:styleId="ListLabel131">
    <w:name w:val="ListLabel 131"/>
    <w:qFormat/>
    <w:rPr>
      <w:rFonts w:cs="Wingdings"/>
    </w:rPr>
  </w:style>
  <w:style w:type="character" w:styleId="ListLabel130">
    <w:name w:val="ListLabel 130"/>
    <w:qFormat/>
    <w:rPr>
      <w:rFonts w:cs="Courier New"/>
    </w:rPr>
  </w:style>
  <w:style w:type="character" w:styleId="ListLabel129">
    <w:name w:val="ListLabel 129"/>
    <w:qFormat/>
    <w:rPr>
      <w:rFonts w:cs="Times New Roman"/>
      <w:sz w:val="22"/>
    </w:rPr>
  </w:style>
  <w:style w:type="character" w:styleId="ListLabel128">
    <w:name w:val="ListLabel 128"/>
    <w:qFormat/>
    <w:rPr>
      <w:rFonts w:cs="Wingdings"/>
    </w:rPr>
  </w:style>
  <w:style w:type="character" w:styleId="ListLabel127">
    <w:name w:val="ListLabel 127"/>
    <w:qFormat/>
    <w:rPr>
      <w:rFonts w:cs="Courier New"/>
    </w:rPr>
  </w:style>
  <w:style w:type="character" w:styleId="ListLabel126">
    <w:name w:val="ListLabel 126"/>
    <w:qFormat/>
    <w:rPr>
      <w:rFonts w:cs="Symbol"/>
    </w:rPr>
  </w:style>
  <w:style w:type="character" w:styleId="ListLabel125">
    <w:name w:val="ListLabel 125"/>
    <w:qFormat/>
    <w:rPr>
      <w:rFonts w:cs="Wingdings"/>
    </w:rPr>
  </w:style>
  <w:style w:type="character" w:styleId="ListLabel124">
    <w:name w:val="ListLabel 124"/>
    <w:qFormat/>
    <w:rPr>
      <w:rFonts w:cs="Courier New"/>
    </w:rPr>
  </w:style>
  <w:style w:type="character" w:styleId="ListLabel123">
    <w:name w:val="ListLabel 123"/>
    <w:qFormat/>
    <w:rPr>
      <w:rFonts w:cs="Symbol"/>
    </w:rPr>
  </w:style>
  <w:style w:type="character" w:styleId="ListLabel122">
    <w:name w:val="ListLabel 122"/>
    <w:qFormat/>
    <w:rPr>
      <w:rFonts w:cs="Wingdings"/>
    </w:rPr>
  </w:style>
  <w:style w:type="character" w:styleId="ListLabel121">
    <w:name w:val="ListLabel 121"/>
    <w:qFormat/>
    <w:rPr>
      <w:rFonts w:cs="Courier New"/>
    </w:rPr>
  </w:style>
  <w:style w:type="character" w:styleId="ListLabel120">
    <w:name w:val="ListLabel 120"/>
    <w:qFormat/>
    <w:rPr>
      <w:rFonts w:cs="Times New Roman"/>
      <w:sz w:val="22"/>
    </w:rPr>
  </w:style>
  <w:style w:type="character" w:styleId="ListLabel119">
    <w:name w:val="ListLabel 119"/>
    <w:qFormat/>
    <w:rPr>
      <w:rFonts w:cs="Wingdings"/>
    </w:rPr>
  </w:style>
  <w:style w:type="character" w:styleId="ListLabel118">
    <w:name w:val="ListLabel 118"/>
    <w:qFormat/>
    <w:rPr>
      <w:rFonts w:cs="Courier New"/>
    </w:rPr>
  </w:style>
  <w:style w:type="character" w:styleId="ListLabel117">
    <w:name w:val="ListLabel 117"/>
    <w:qFormat/>
    <w:rPr>
      <w:rFonts w:cs="Symbol"/>
    </w:rPr>
  </w:style>
  <w:style w:type="character" w:styleId="ListLabel116">
    <w:name w:val="ListLabel 116"/>
    <w:qFormat/>
    <w:rPr>
      <w:rFonts w:cs="Wingdings"/>
    </w:rPr>
  </w:style>
  <w:style w:type="character" w:styleId="ListLabel115">
    <w:name w:val="ListLabel 115"/>
    <w:qFormat/>
    <w:rPr>
      <w:rFonts w:cs="Courier New"/>
    </w:rPr>
  </w:style>
  <w:style w:type="character" w:styleId="ListLabel114">
    <w:name w:val="ListLabel 114"/>
    <w:qFormat/>
    <w:rPr>
      <w:rFonts w:cs="Symbol"/>
    </w:rPr>
  </w:style>
  <w:style w:type="character" w:styleId="ListLabel113">
    <w:name w:val="ListLabel 113"/>
    <w:qFormat/>
    <w:rPr>
      <w:rFonts w:cs="Wingdings"/>
    </w:rPr>
  </w:style>
  <w:style w:type="character" w:styleId="ListLabel112">
    <w:name w:val="ListLabel 112"/>
    <w:qFormat/>
    <w:rPr>
      <w:rFonts w:cs="Courier New"/>
    </w:rPr>
  </w:style>
  <w:style w:type="character" w:styleId="ListLabel111">
    <w:name w:val="ListLabel 111"/>
    <w:qFormat/>
    <w:rPr>
      <w:rFonts w:cs="Times New Roman"/>
      <w:sz w:val="22"/>
    </w:rPr>
  </w:style>
  <w:style w:type="character" w:styleId="ListLabel110">
    <w:name w:val="ListLabel 110"/>
    <w:qFormat/>
    <w:rPr>
      <w:rFonts w:cs="Wingdings"/>
    </w:rPr>
  </w:style>
  <w:style w:type="character" w:styleId="ListLabel109">
    <w:name w:val="ListLabel 109"/>
    <w:qFormat/>
    <w:rPr>
      <w:rFonts w:cs="Courier New"/>
    </w:rPr>
  </w:style>
  <w:style w:type="character" w:styleId="ListLabel108">
    <w:name w:val="ListLabel 108"/>
    <w:qFormat/>
    <w:rPr>
      <w:rFonts w:cs="Symbol"/>
    </w:rPr>
  </w:style>
  <w:style w:type="character" w:styleId="ListLabel107">
    <w:name w:val="ListLabel 107"/>
    <w:qFormat/>
    <w:rPr>
      <w:rFonts w:cs="Wingdings"/>
    </w:rPr>
  </w:style>
  <w:style w:type="character" w:styleId="ListLabel106">
    <w:name w:val="ListLabel 106"/>
    <w:qFormat/>
    <w:rPr>
      <w:rFonts w:cs="Courier New"/>
    </w:rPr>
  </w:style>
  <w:style w:type="character" w:styleId="ListLabel105">
    <w:name w:val="ListLabel 105"/>
    <w:qFormat/>
    <w:rPr>
      <w:rFonts w:cs="Symbol"/>
    </w:rPr>
  </w:style>
  <w:style w:type="character" w:styleId="ListLabel104">
    <w:name w:val="ListLabel 104"/>
    <w:qFormat/>
    <w:rPr>
      <w:rFonts w:cs="Wingdings"/>
    </w:rPr>
  </w:style>
  <w:style w:type="character" w:styleId="ListLabel103">
    <w:name w:val="ListLabel 103"/>
    <w:qFormat/>
    <w:rPr>
      <w:rFonts w:cs="Courier New"/>
    </w:rPr>
  </w:style>
  <w:style w:type="character" w:styleId="ListLabel102">
    <w:name w:val="ListLabel 102"/>
    <w:qFormat/>
    <w:rPr>
      <w:rFonts w:cs="Times New Roman"/>
      <w:sz w:val="22"/>
    </w:rPr>
  </w:style>
  <w:style w:type="character" w:styleId="ListLabel101">
    <w:name w:val="ListLabel 101"/>
    <w:qFormat/>
    <w:rPr>
      <w:rFonts w:cs="Wingdings"/>
    </w:rPr>
  </w:style>
  <w:style w:type="character" w:styleId="ListLabel100">
    <w:name w:val="ListLabel 100"/>
    <w:qFormat/>
    <w:rPr>
      <w:rFonts w:cs="Courier New"/>
    </w:rPr>
  </w:style>
  <w:style w:type="character" w:styleId="ListLabel99">
    <w:name w:val="ListLabel 99"/>
    <w:qFormat/>
    <w:rPr>
      <w:rFonts w:cs="Symbol"/>
    </w:rPr>
  </w:style>
  <w:style w:type="character" w:styleId="ListLabel98">
    <w:name w:val="ListLabel 98"/>
    <w:qFormat/>
    <w:rPr>
      <w:rFonts w:cs="Wingdings"/>
    </w:rPr>
  </w:style>
  <w:style w:type="character" w:styleId="ListLabel97">
    <w:name w:val="ListLabel 97"/>
    <w:qFormat/>
    <w:rPr>
      <w:rFonts w:cs="Courier New"/>
    </w:rPr>
  </w:style>
  <w:style w:type="character" w:styleId="ListLabel96">
    <w:name w:val="ListLabel 96"/>
    <w:qFormat/>
    <w:rPr>
      <w:rFonts w:cs="Symbol"/>
    </w:rPr>
  </w:style>
  <w:style w:type="character" w:styleId="ListLabel95">
    <w:name w:val="ListLabel 95"/>
    <w:qFormat/>
    <w:rPr>
      <w:rFonts w:cs="Wingdings"/>
    </w:rPr>
  </w:style>
  <w:style w:type="character" w:styleId="ListLabel94">
    <w:name w:val="ListLabel 94"/>
    <w:qFormat/>
    <w:rPr>
      <w:rFonts w:cs="Courier New"/>
    </w:rPr>
  </w:style>
  <w:style w:type="character" w:styleId="ListLabel93">
    <w:name w:val="ListLabel 93"/>
    <w:qFormat/>
    <w:rPr>
      <w:rFonts w:cs="Times New Roman"/>
      <w:sz w:val="22"/>
    </w:rPr>
  </w:style>
  <w:style w:type="character" w:styleId="ListLabel92">
    <w:name w:val="ListLabel 92"/>
    <w:qFormat/>
    <w:rPr>
      <w:rFonts w:cs="Wingdings"/>
    </w:rPr>
  </w:style>
  <w:style w:type="character" w:styleId="ListLabel91">
    <w:name w:val="ListLabel 91"/>
    <w:qFormat/>
    <w:rPr>
      <w:rFonts w:cs="Courier New"/>
    </w:rPr>
  </w:style>
  <w:style w:type="character" w:styleId="ListLabel90">
    <w:name w:val="ListLabel 90"/>
    <w:qFormat/>
    <w:rPr>
      <w:rFonts w:cs="Symbol"/>
    </w:rPr>
  </w:style>
  <w:style w:type="character" w:styleId="ListLabel89">
    <w:name w:val="ListLabel 89"/>
    <w:qFormat/>
    <w:rPr>
      <w:rFonts w:cs="Wingdings"/>
    </w:rPr>
  </w:style>
  <w:style w:type="character" w:styleId="ListLabel88">
    <w:name w:val="ListLabel 88"/>
    <w:qFormat/>
    <w:rPr>
      <w:rFonts w:cs="Courier New"/>
    </w:rPr>
  </w:style>
  <w:style w:type="character" w:styleId="ListLabel87">
    <w:name w:val="ListLabel 87"/>
    <w:qFormat/>
    <w:rPr>
      <w:rFonts w:cs="Symbol"/>
    </w:rPr>
  </w:style>
  <w:style w:type="character" w:styleId="ListLabel86">
    <w:name w:val="ListLabel 86"/>
    <w:qFormat/>
    <w:rPr>
      <w:rFonts w:cs="Wingdings"/>
    </w:rPr>
  </w:style>
  <w:style w:type="character" w:styleId="ListLabel85">
    <w:name w:val="ListLabel 85"/>
    <w:qFormat/>
    <w:rPr>
      <w:rFonts w:cs="Courier New"/>
    </w:rPr>
  </w:style>
  <w:style w:type="character" w:styleId="ListLabel84">
    <w:name w:val="ListLabel 84"/>
    <w:qFormat/>
    <w:rPr>
      <w:rFonts w:cs="Times New Roman"/>
      <w:sz w:val="22"/>
    </w:rPr>
  </w:style>
  <w:style w:type="character" w:styleId="ListLabel83">
    <w:name w:val="ListLabel 83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0">
    <w:name w:val="ListLabel 80"/>
    <w:qFormat/>
    <w:rPr>
      <w:rFonts w:eastAsia="Lucida Sans Unicode" w:cs="Times New Roman"/>
      <w:sz w:val="22"/>
    </w:rPr>
  </w:style>
  <w:style w:type="character" w:styleId="ListLabel79">
    <w:name w:val="ListLabel 79"/>
    <w:qFormat/>
    <w:rPr>
      <w:rFonts w:cs="Wingdings"/>
    </w:rPr>
  </w:style>
  <w:style w:type="character" w:styleId="ListLabel78">
    <w:name w:val="ListLabel 78"/>
    <w:qFormat/>
    <w:rPr>
      <w:rFonts w:cs="Courier New"/>
    </w:rPr>
  </w:style>
  <w:style w:type="character" w:styleId="ListLabel77">
    <w:name w:val="ListLabel 77"/>
    <w:qFormat/>
    <w:rPr>
      <w:rFonts w:cs="Symbol"/>
    </w:rPr>
  </w:style>
  <w:style w:type="character" w:styleId="ListLabel76">
    <w:name w:val="ListLabel 76"/>
    <w:qFormat/>
    <w:rPr>
      <w:rFonts w:cs="Wingdings"/>
    </w:rPr>
  </w:style>
  <w:style w:type="character" w:styleId="ListLabel75">
    <w:name w:val="ListLabel 75"/>
    <w:qFormat/>
    <w:rPr>
      <w:rFonts w:cs="Courier New"/>
    </w:rPr>
  </w:style>
  <w:style w:type="character" w:styleId="ListLabel74">
    <w:name w:val="ListLabel 74"/>
    <w:qFormat/>
    <w:rPr>
      <w:rFonts w:cs="Symbol"/>
    </w:rPr>
  </w:style>
  <w:style w:type="character" w:styleId="ListLabel73">
    <w:name w:val="ListLabel 73"/>
    <w:qFormat/>
    <w:rPr>
      <w:rFonts w:cs="Wingdings"/>
    </w:rPr>
  </w:style>
  <w:style w:type="character" w:styleId="ListLabel72">
    <w:name w:val="ListLabel 72"/>
    <w:qFormat/>
    <w:rPr>
      <w:rFonts w:cs="Courier New"/>
    </w:rPr>
  </w:style>
  <w:style w:type="character" w:styleId="ListLabel71">
    <w:name w:val="ListLabel 71"/>
    <w:qFormat/>
    <w:rPr>
      <w:rFonts w:cs="Segoe UI"/>
      <w:sz w:val="22"/>
    </w:rPr>
  </w:style>
  <w:style w:type="character" w:styleId="ListLabel70">
    <w:name w:val="ListLabel 70"/>
    <w:qFormat/>
    <w:rPr>
      <w:rFonts w:ascii="Arial Narrow" w:hAnsi="Arial Narrow" w:cs="Tahoma"/>
      <w:color w:val="0000FF"/>
      <w:sz w:val="20"/>
      <w:szCs w:val="20"/>
      <w:u w:val="single"/>
    </w:rPr>
  </w:style>
  <w:style w:type="character" w:styleId="ListLabel69">
    <w:name w:val="ListLabel 69"/>
    <w:qFormat/>
    <w:rPr>
      <w:rFonts w:cs="Wingdings"/>
    </w:rPr>
  </w:style>
  <w:style w:type="character" w:styleId="ListLabel68">
    <w:name w:val="ListLabel 68"/>
    <w:qFormat/>
    <w:rPr>
      <w:rFonts w:cs="Courier New"/>
    </w:rPr>
  </w:style>
  <w:style w:type="character" w:styleId="ListLabel67">
    <w:name w:val="ListLabel 67"/>
    <w:qFormat/>
    <w:rPr>
      <w:rFonts w:cs="Symbol"/>
    </w:rPr>
  </w:style>
  <w:style w:type="character" w:styleId="ListLabel66">
    <w:name w:val="ListLabel 66"/>
    <w:qFormat/>
    <w:rPr>
      <w:rFonts w:cs="Wingdings"/>
    </w:rPr>
  </w:style>
  <w:style w:type="character" w:styleId="ListLabel65">
    <w:name w:val="ListLabel 65"/>
    <w:qFormat/>
    <w:rPr>
      <w:rFonts w:cs="Courier New"/>
    </w:rPr>
  </w:style>
  <w:style w:type="character" w:styleId="ListLabel64">
    <w:name w:val="ListLabel 64"/>
    <w:qFormat/>
    <w:rPr>
      <w:rFonts w:cs="Symbol"/>
    </w:rPr>
  </w:style>
  <w:style w:type="character" w:styleId="ListLabel63">
    <w:name w:val="ListLabel 63"/>
    <w:qFormat/>
    <w:rPr>
      <w:rFonts w:cs="Wingdings"/>
    </w:rPr>
  </w:style>
  <w:style w:type="character" w:styleId="ListLabel62">
    <w:name w:val="ListLabel 62"/>
    <w:qFormat/>
    <w:rPr>
      <w:rFonts w:cs="Courier New"/>
    </w:rPr>
  </w:style>
  <w:style w:type="character" w:styleId="ListLabel61">
    <w:name w:val="ListLabel 61"/>
    <w:qFormat/>
    <w:rPr>
      <w:rFonts w:ascii="Arial Narrow" w:hAnsi="Arial Narrow" w:cs="Segoe UI"/>
      <w:sz w:val="22"/>
    </w:rPr>
  </w:style>
  <w:style w:type="character" w:styleId="ListLabel60">
    <w:name w:val="ListLabel 60"/>
    <w:qFormat/>
    <w:rPr>
      <w:rFonts w:ascii="Arial Narrow" w:hAnsi="Arial Narrow" w:cs="Tahoma"/>
      <w:color w:val="0000FF"/>
      <w:sz w:val="20"/>
      <w:szCs w:val="20"/>
      <w:u w:val="single"/>
    </w:rPr>
  </w:style>
  <w:style w:type="character" w:styleId="ListLabel59">
    <w:name w:val="ListLabel 59"/>
    <w:qFormat/>
    <w:rPr>
      <w:rFonts w:cs="Wingdings"/>
    </w:rPr>
  </w:style>
  <w:style w:type="character" w:styleId="ListLabel58">
    <w:name w:val="ListLabel 58"/>
    <w:qFormat/>
    <w:rPr>
      <w:rFonts w:cs="Courier New"/>
    </w:rPr>
  </w:style>
  <w:style w:type="character" w:styleId="ListLabel57">
    <w:name w:val="ListLabel 57"/>
    <w:qFormat/>
    <w:rPr>
      <w:rFonts w:cs="Symbol"/>
    </w:rPr>
  </w:style>
  <w:style w:type="character" w:styleId="ListLabel56">
    <w:name w:val="ListLabel 56"/>
    <w:qFormat/>
    <w:rPr>
      <w:rFonts w:cs="Wingdings"/>
    </w:rPr>
  </w:style>
  <w:style w:type="character" w:styleId="ListLabel55">
    <w:name w:val="ListLabel 55"/>
    <w:qFormat/>
    <w:rPr>
      <w:rFonts w:cs="Courier New"/>
    </w:rPr>
  </w:style>
  <w:style w:type="character" w:styleId="ListLabel54">
    <w:name w:val="ListLabel 54"/>
    <w:qFormat/>
    <w:rPr>
      <w:rFonts w:cs="Symbol"/>
    </w:rPr>
  </w:style>
  <w:style w:type="character" w:styleId="ListLabel53">
    <w:name w:val="ListLabel 53"/>
    <w:qFormat/>
    <w:rPr>
      <w:rFonts w:cs="Wingdings"/>
    </w:rPr>
  </w:style>
  <w:style w:type="character" w:styleId="ListLabel52">
    <w:name w:val="ListLabel 52"/>
    <w:qFormat/>
    <w:rPr>
      <w:rFonts w:cs="Courier New"/>
    </w:rPr>
  </w:style>
  <w:style w:type="character" w:styleId="ListLabel51">
    <w:name w:val="ListLabel 51"/>
    <w:qFormat/>
    <w:rPr>
      <w:rFonts w:ascii="Arial Narrow" w:hAnsi="Arial Narrow" w:cs="Segoe UI"/>
      <w:sz w:val="22"/>
    </w:rPr>
  </w:style>
  <w:style w:type="character" w:styleId="ListLabel50">
    <w:name w:val="ListLabel 50"/>
    <w:qFormat/>
    <w:rPr>
      <w:rFonts w:ascii="Arial Narrow" w:hAnsi="Arial Narrow" w:cs="Tahoma"/>
      <w:color w:val="0000FF"/>
      <w:sz w:val="20"/>
      <w:szCs w:val="20"/>
      <w:u w:val="single"/>
    </w:rPr>
  </w:style>
  <w:style w:type="character" w:styleId="ListLabel49">
    <w:name w:val="ListLabel 49"/>
    <w:qFormat/>
    <w:rPr>
      <w:rFonts w:cs="Wingdings"/>
    </w:rPr>
  </w:style>
  <w:style w:type="character" w:styleId="ListLabel48">
    <w:name w:val="ListLabel 48"/>
    <w:qFormat/>
    <w:rPr>
      <w:rFonts w:cs="Courier New"/>
    </w:rPr>
  </w:style>
  <w:style w:type="character" w:styleId="ListLabel47">
    <w:name w:val="ListLabel 47"/>
    <w:qFormat/>
    <w:rPr>
      <w:rFonts w:cs="Symbol"/>
    </w:rPr>
  </w:style>
  <w:style w:type="character" w:styleId="ListLabel46">
    <w:name w:val="ListLabel 46"/>
    <w:qFormat/>
    <w:rPr>
      <w:rFonts w:cs="Wingdings"/>
    </w:rPr>
  </w:style>
  <w:style w:type="character" w:styleId="ListLabel45">
    <w:name w:val="ListLabel 45"/>
    <w:qFormat/>
    <w:rPr>
      <w:rFonts w:cs="Courier New"/>
    </w:rPr>
  </w:style>
  <w:style w:type="character" w:styleId="ListLabel44">
    <w:name w:val="ListLabel 44"/>
    <w:qFormat/>
    <w:rPr>
      <w:rFonts w:cs="Symbol"/>
    </w:rPr>
  </w:style>
  <w:style w:type="character" w:styleId="ListLabel43">
    <w:name w:val="ListLabel 43"/>
    <w:qFormat/>
    <w:rPr>
      <w:rFonts w:cs="Wingdings"/>
    </w:rPr>
  </w:style>
  <w:style w:type="character" w:styleId="ListLabel42">
    <w:name w:val="ListLabel 42"/>
    <w:qFormat/>
    <w:rPr>
      <w:rFonts w:cs="Courier New"/>
    </w:rPr>
  </w:style>
  <w:style w:type="character" w:styleId="ListLabel41">
    <w:name w:val="ListLabel 41"/>
    <w:qFormat/>
    <w:rPr>
      <w:rFonts w:ascii="Arial Narrow" w:hAnsi="Arial Narrow" w:cs="Segoe UI"/>
      <w:sz w:val="22"/>
    </w:rPr>
  </w:style>
  <w:style w:type="character" w:styleId="ListLabel40">
    <w:name w:val="ListLabel 40"/>
    <w:qFormat/>
    <w:rPr>
      <w:rFonts w:ascii="Arial Narrow" w:hAnsi="Arial Narrow" w:cs="Tahoma"/>
      <w:color w:val="0000FF"/>
      <w:sz w:val="20"/>
      <w:szCs w:val="20"/>
      <w:u w:val="single"/>
    </w:rPr>
  </w:style>
  <w:style w:type="character" w:styleId="ListLabel39">
    <w:name w:val="ListLabel 39"/>
    <w:qFormat/>
    <w:rPr>
      <w:rFonts w:cs="Wingdings"/>
    </w:rPr>
  </w:style>
  <w:style w:type="character" w:styleId="ListLabel38">
    <w:name w:val="ListLabel 38"/>
    <w:qFormat/>
    <w:rPr>
      <w:rFonts w:cs="Courier New"/>
    </w:rPr>
  </w:style>
  <w:style w:type="character" w:styleId="ListLabel37">
    <w:name w:val="ListLabel 37"/>
    <w:qFormat/>
    <w:rPr>
      <w:rFonts w:cs="Symbol"/>
    </w:rPr>
  </w:style>
  <w:style w:type="character" w:styleId="ListLabel36">
    <w:name w:val="ListLabel 36"/>
    <w:qFormat/>
    <w:rPr>
      <w:rFonts w:cs="Wingdings"/>
    </w:rPr>
  </w:style>
  <w:style w:type="character" w:styleId="ListLabel35">
    <w:name w:val="ListLabel 35"/>
    <w:qFormat/>
    <w:rPr>
      <w:rFonts w:cs="Courier New"/>
    </w:rPr>
  </w:style>
  <w:style w:type="character" w:styleId="ListLabel34">
    <w:name w:val="ListLabel 34"/>
    <w:qFormat/>
    <w:rPr>
      <w:rFonts w:cs="Symbol"/>
    </w:rPr>
  </w:style>
  <w:style w:type="character" w:styleId="ListLabel33">
    <w:name w:val="ListLabel 33"/>
    <w:qFormat/>
    <w:rPr>
      <w:rFonts w:cs="Wingdings"/>
    </w:rPr>
  </w:style>
  <w:style w:type="character" w:styleId="ListLabel32">
    <w:name w:val="ListLabel 32"/>
    <w:qFormat/>
    <w:rPr>
      <w:rFonts w:cs="Courier New"/>
    </w:rPr>
  </w:style>
  <w:style w:type="character" w:styleId="ListLabel31">
    <w:name w:val="ListLabel 31"/>
    <w:qFormat/>
    <w:rPr>
      <w:rFonts w:ascii="Arial Narrow" w:hAnsi="Arial Narrow" w:cs="Segoe UI"/>
      <w:sz w:val="22"/>
    </w:rPr>
  </w:style>
  <w:style w:type="character" w:styleId="ListLabel30">
    <w:name w:val="ListLabel 30"/>
    <w:qFormat/>
    <w:rPr>
      <w:rFonts w:ascii="Arial Narrow" w:hAnsi="Arial Narrow" w:cs="Tahoma"/>
      <w:color w:val="0000FF"/>
      <w:sz w:val="20"/>
      <w:szCs w:val="20"/>
      <w:u w:val="single"/>
    </w:rPr>
  </w:style>
  <w:style w:type="character" w:styleId="ListLabel29">
    <w:name w:val="ListLabel 29"/>
    <w:qFormat/>
    <w:rPr>
      <w:rFonts w:cs="Wingdings"/>
    </w:rPr>
  </w:style>
  <w:style w:type="character" w:styleId="ListLabel28">
    <w:name w:val="ListLabel 28"/>
    <w:qFormat/>
    <w:rPr>
      <w:rFonts w:cs="Courier New"/>
    </w:rPr>
  </w:style>
  <w:style w:type="character" w:styleId="ListLabel27">
    <w:name w:val="ListLabel 27"/>
    <w:qFormat/>
    <w:rPr>
      <w:rFonts w:cs="Symbol"/>
    </w:rPr>
  </w:style>
  <w:style w:type="character" w:styleId="ListLabel26">
    <w:name w:val="ListLabel 26"/>
    <w:qFormat/>
    <w:rPr>
      <w:rFonts w:cs="Wingdings"/>
    </w:rPr>
  </w:style>
  <w:style w:type="character" w:styleId="ListLabel25">
    <w:name w:val="ListLabel 25"/>
    <w:qFormat/>
    <w:rPr>
      <w:rFonts w:cs="Courier New"/>
    </w:rPr>
  </w:style>
  <w:style w:type="character" w:styleId="ListLabel24">
    <w:name w:val="ListLabel 24"/>
    <w:qFormat/>
    <w:rPr>
      <w:rFonts w:cs="Symbol"/>
    </w:rPr>
  </w:style>
  <w:style w:type="character" w:styleId="ListLabel23">
    <w:name w:val="ListLabel 23"/>
    <w:qFormat/>
    <w:rPr>
      <w:rFonts w:cs="Wingdings"/>
    </w:rPr>
  </w:style>
  <w:style w:type="character" w:styleId="ListLabel22">
    <w:name w:val="ListLabel 22"/>
    <w:qFormat/>
    <w:rPr>
      <w:rFonts w:cs="Courier New"/>
    </w:rPr>
  </w:style>
  <w:style w:type="character" w:styleId="ListLabel21">
    <w:name w:val="ListLabel 21"/>
    <w:qFormat/>
    <w:rPr>
      <w:rFonts w:ascii="Arial Narrow" w:hAnsi="Arial Narrow" w:cs="Segoe UI"/>
      <w:sz w:val="22"/>
    </w:rPr>
  </w:style>
  <w:style w:type="character" w:styleId="ListLabel20">
    <w:name w:val="ListLabel 20"/>
    <w:qFormat/>
    <w:rPr>
      <w:rFonts w:ascii="Arial Narrow" w:hAnsi="Arial Narrow" w:cs="Tahoma"/>
      <w:color w:val="0000FF"/>
      <w:sz w:val="20"/>
      <w:szCs w:val="20"/>
      <w:u w:val="single"/>
    </w:rPr>
  </w:style>
  <w:style w:type="character" w:styleId="ListLabel19">
    <w:name w:val="ListLabel 19"/>
    <w:qFormat/>
    <w:rPr>
      <w:rFonts w:cs="Wingdings"/>
    </w:rPr>
  </w:style>
  <w:style w:type="character" w:styleId="ListLabel18">
    <w:name w:val="ListLabel 18"/>
    <w:qFormat/>
    <w:rPr>
      <w:rFonts w:cs="Courier New"/>
    </w:rPr>
  </w:style>
  <w:style w:type="character" w:styleId="ListLabel17">
    <w:name w:val="ListLabel 17"/>
    <w:qFormat/>
    <w:rPr>
      <w:rFonts w:cs="Symbol"/>
    </w:rPr>
  </w:style>
  <w:style w:type="character" w:styleId="ListLabel16">
    <w:name w:val="ListLabel 16"/>
    <w:qFormat/>
    <w:rPr>
      <w:rFonts w:cs="Wingdings"/>
    </w:rPr>
  </w:style>
  <w:style w:type="character" w:styleId="ListLabel15">
    <w:name w:val="ListLabel 15"/>
    <w:qFormat/>
    <w:rPr>
      <w:rFonts w:cs="Courier New"/>
    </w:rPr>
  </w:style>
  <w:style w:type="character" w:styleId="ListLabel14">
    <w:name w:val="ListLabel 14"/>
    <w:qFormat/>
    <w:rPr>
      <w:rFonts w:cs="Symbol"/>
    </w:rPr>
  </w:style>
  <w:style w:type="character" w:styleId="ListLabel13">
    <w:name w:val="ListLabel 13"/>
    <w:qFormat/>
    <w:rPr>
      <w:rFonts w:cs="Wingdings"/>
    </w:rPr>
  </w:style>
  <w:style w:type="character" w:styleId="ListLabel12">
    <w:name w:val="ListLabel 12"/>
    <w:qFormat/>
    <w:rPr>
      <w:rFonts w:cs="Courier New"/>
    </w:rPr>
  </w:style>
  <w:style w:type="character" w:styleId="Znakovifusnote">
    <w:name w:val="Znakovi fusnote"/>
    <w:qFormat/>
    <w:rPr/>
  </w:style>
  <w:style w:type="character" w:styleId="Znakovioznaavanjazavrnihbiljeki">
    <w:name w:val="Znakovi označavanja završnih bilješki"/>
    <w:qFormat/>
    <w:rPr/>
  </w:style>
  <w:style w:type="character" w:styleId="Posjeenainternetveza">
    <w:name w:val="Posjećena internet veza"/>
    <w:rPr>
      <w:color w:val="800000"/>
      <w:u w:val="single"/>
      <w:lang w:val="zxx" w:eastAsia="zxx" w:bidi="zxx"/>
    </w:rPr>
  </w:style>
  <w:style w:type="character" w:styleId="ListLabel201">
    <w:name w:val="ListLabel 201"/>
    <w:qFormat/>
    <w:rPr>
      <w:sz w:val="20"/>
      <w:szCs w:val="20"/>
    </w:rPr>
  </w:style>
  <w:style w:type="character" w:styleId="ListLabel202">
    <w:name w:val="ListLabel 202"/>
    <w:qFormat/>
    <w:rPr>
      <w:sz w:val="20"/>
      <w:szCs w:val="20"/>
    </w:rPr>
  </w:style>
  <w:style w:type="character" w:styleId="ListLabel203">
    <w:name w:val="ListLabel 203"/>
    <w:qFormat/>
    <w:rPr>
      <w:sz w:val="20"/>
      <w:szCs w:val="20"/>
    </w:rPr>
  </w:style>
  <w:style w:type="character" w:styleId="ListLabel204">
    <w:name w:val="ListLabel 204"/>
    <w:qFormat/>
    <w:rPr>
      <w:sz w:val="20"/>
      <w:szCs w:val="20"/>
    </w:rPr>
  </w:style>
  <w:style w:type="character" w:styleId="ListLabel205">
    <w:name w:val="ListLabel 205"/>
    <w:qFormat/>
    <w:rPr>
      <w:sz w:val="20"/>
      <w:szCs w:val="20"/>
    </w:rPr>
  </w:style>
  <w:style w:type="paragraph" w:styleId="Stilnaslova" w:customStyle="1">
    <w:name w:val="Stil naslova"/>
    <w:basedOn w:val="Normal"/>
    <w:next w:val="Tijeloteksta"/>
    <w:qFormat/>
    <w:rsid w:val="008733f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rsid w:val="00bc48a3"/>
    <w:pPr>
      <w:jc w:val="both"/>
    </w:pPr>
    <w:rPr>
      <w:rFonts w:ascii="Garamond" w:hAnsi="Garamond"/>
    </w:rPr>
  </w:style>
  <w:style w:type="paragraph" w:styleId="Popis">
    <w:name w:val="List"/>
    <w:basedOn w:val="Tijeloteksta"/>
    <w:rsid w:val="008733f4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8733f4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8733f4"/>
    <w:pPr>
      <w:suppressLineNumbers/>
      <w:spacing w:before="120" w:after="120"/>
    </w:pPr>
    <w:rPr>
      <w:rFonts w:cs="Arial"/>
      <w:i/>
      <w:iCs/>
    </w:rPr>
  </w:style>
  <w:style w:type="paragraph" w:styleId="Uvlakatijelateksta">
    <w:name w:val="Body Text Indent"/>
    <w:basedOn w:val="Normal"/>
    <w:rsid w:val="00bc48a3"/>
    <w:pPr>
      <w:ind w:firstLine="708"/>
      <w:jc w:val="both"/>
    </w:pPr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qFormat/>
    <w:rsid w:val="00bc48a3"/>
    <w:pPr>
      <w:ind w:firstLine="360"/>
      <w:jc w:val="both"/>
    </w:pPr>
    <w:rPr>
      <w:rFonts w:ascii="Arial" w:hAnsi="Arial" w:cs="Arial"/>
      <w:sz w:val="22"/>
      <w:szCs w:val="20"/>
    </w:rPr>
  </w:style>
  <w:style w:type="paragraph" w:styleId="BalloonText">
    <w:name w:val="Balloon Text"/>
    <w:basedOn w:val="Normal"/>
    <w:link w:val="TekstbaloniaChar"/>
    <w:qFormat/>
    <w:rsid w:val="00f34cb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fd3"/>
    <w:pPr>
      <w:spacing w:before="0" w:after="0"/>
      <w:ind w:left="720" w:hanging="0"/>
      <w:contextualSpacing/>
    </w:pPr>
    <w:rPr/>
  </w:style>
  <w:style w:type="paragraph" w:styleId="Sadrajitablice" w:customStyle="1">
    <w:name w:val="Sadržaji tablice"/>
    <w:basedOn w:val="Normal"/>
    <w:qFormat/>
    <w:rsid w:val="008733f4"/>
    <w:pPr>
      <w:suppressLineNumbers/>
    </w:pPr>
    <w:rPr/>
  </w:style>
  <w:style w:type="paragraph" w:styleId="Naslovtablice" w:customStyle="1">
    <w:name w:val="Naslov tablice"/>
    <w:basedOn w:val="Sadrajitablice"/>
    <w:qFormat/>
    <w:rsid w:val="008733f4"/>
    <w:pPr>
      <w:jc w:val="center"/>
    </w:pPr>
    <w:rPr>
      <w:b/>
      <w:bCs/>
    </w:rPr>
  </w:style>
  <w:style w:type="paragraph" w:styleId="NoSpacing">
    <w:name w:val="No Spacing"/>
    <w:qFormat/>
    <w:rsid w:val="008733f4"/>
    <w:pPr>
      <w:widowControl/>
      <w:suppressAutoHyphens w:val="true"/>
      <w:overflowPunct w:val="false"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hr-HR" w:eastAsia="en-US" w:bidi="ar-SA"/>
    </w:rPr>
  </w:style>
  <w:style w:type="paragraph" w:styleId="Izlistajsadraj">
    <w:name w:val="Izlistaj sadržaj"/>
    <w:basedOn w:val="Normal"/>
    <w:qFormat/>
    <w:pPr>
      <w:ind w:left="567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rsid w:val="00230e31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Reetkatablice">
    <w:name w:val="Table Grid"/>
    <w:basedOn w:val="Obinatablica"/>
    <w:uiPriority w:val="59"/>
    <w:rsid w:val="0041302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40B8-AAB0-4D96-9883-82A6154B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Application>LibreOffice/6.2.4.2$Windows_X86_64 LibreOffice_project/2412653d852ce75f65fbfa83fb7e7b669a126d64</Application>
  <Pages>4</Pages>
  <Words>1547</Words>
  <Characters>10044</Characters>
  <CharactersWithSpaces>11601</CharactersWithSpaces>
  <Paragraphs>325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2023-01-08T18:26:00Z</dcterms:created>
  <dc:creator>ZDENKO</dc:creator>
  <dc:description/>
  <dc:language>hr-HR</dc:language>
  <cp:lastModifiedBy/>
  <cp:lastPrinted>2024-10-07T11:25:58Z</cp:lastPrinted>
  <dcterms:modified xsi:type="dcterms:W3CDTF">2024-10-07T11:26:53Z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