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363-01/25-01/15</w:t>
      </w:r>
    </w:p>
    <w:p>
      <w:pPr>
        <w:pStyle w:val="Normal"/>
        <w:rPr/>
      </w:pPr>
      <w:r>
        <w:rPr>
          <w:sz w:val="22"/>
          <w:szCs w:val="22"/>
        </w:rPr>
        <w:t>URBROJ: 2140-23-1-25-03</w:t>
      </w:r>
    </w:p>
    <w:p>
      <w:pPr>
        <w:pStyle w:val="Normal"/>
        <w:rPr/>
      </w:pPr>
      <w:r>
        <w:rPr>
          <w:sz w:val="22"/>
          <w:szCs w:val="22"/>
        </w:rPr>
        <w:t>Mihovljan, 28. ožujak 2025.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odredbe članka 67. Stavak 1 Zakona o komunalnom gospodarstvu („Narodne novine“ broj 68/18 i 110/18, 32/20), članka 30. Zakona o vodama („Narodne Novine“ br. 66/19, 84/21 i 47/23) i članka 39. Statuta Općine Mihovljan („Službeni glasnik Krapinsko-zagorske županije“ br. 5/13, 11/18, 8/20 i 8/21), Općinsko vijeće Općine Mihovljan na svojoj 30. sjednici održanoj dana 28. ožujka 2025. godine, donijelo je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PROGRAMA GRAĐENJA OBJEKATA </w:t>
      </w:r>
    </w:p>
    <w:p>
      <w:pPr>
        <w:pStyle w:val="Normal"/>
        <w:jc w:val="center"/>
        <w:rPr/>
      </w:pPr>
      <w:r>
        <w:rPr>
          <w:rFonts w:cs="Tahoma"/>
          <w:b/>
          <w:sz w:val="22"/>
          <w:szCs w:val="22"/>
        </w:rPr>
        <w:t>KOMUNALNE INFRASTRUKTURE</w:t>
      </w:r>
      <w:r>
        <w:rPr>
          <w:b/>
          <w:sz w:val="22"/>
          <w:szCs w:val="22"/>
        </w:rPr>
        <w:t xml:space="preserve"> U 2024. GODINI</w:t>
      </w:r>
    </w:p>
    <w:p>
      <w:pPr>
        <w:pStyle w:val="Defaul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2024.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/>
      </w:pPr>
      <w:r>
        <w:rPr>
          <w:sz w:val="22"/>
          <w:szCs w:val="22"/>
        </w:rPr>
        <w:t xml:space="preserve">građevine komunalne infrastrukture koje će se graditi radi uređenja neuređenih dijelova građevinskog </w:t>
        <w:br/>
        <w:t>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spacing w:lineRule="auto" w:line="276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/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tbl>
      <w:tblPr>
        <w:tblStyle w:val="Reetkatablice"/>
        <w:tblW w:w="10575" w:type="dxa"/>
        <w:jc w:val="left"/>
        <w:tblInd w:w="-25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3065"/>
        <w:gridCol w:w="3"/>
        <w:gridCol w:w="1460"/>
        <w:gridCol w:w="3"/>
        <w:gridCol w:w="1308"/>
        <w:gridCol w:w="3"/>
        <w:gridCol w:w="1254"/>
        <w:gridCol w:w="3"/>
        <w:gridCol w:w="40"/>
        <w:gridCol w:w="1762"/>
        <w:gridCol w:w="194"/>
        <w:gridCol w:w="800"/>
      </w:tblGrid>
      <w:tr>
        <w:trPr>
          <w:trHeight w:val="397" w:hRule="atLeast"/>
        </w:trPr>
        <w:tc>
          <w:tcPr>
            <w:tcW w:w="10574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463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Izvorni plan (EUR)</w:t>
            </w:r>
          </w:p>
        </w:tc>
        <w:tc>
          <w:tcPr>
            <w:tcW w:w="1311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izmjene i dopune</w:t>
            </w:r>
          </w:p>
        </w:tc>
        <w:tc>
          <w:tcPr>
            <w:tcW w:w="1300" w:type="dxa"/>
            <w:gridSpan w:val="4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Izvršenje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2024.g.</w:t>
            </w:r>
          </w:p>
        </w:tc>
        <w:tc>
          <w:tcPr>
            <w:tcW w:w="1762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994" w:type="dxa"/>
            <w:gridSpan w:val="2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Pozicija</w:t>
            </w:r>
          </w:p>
        </w:tc>
      </w:tr>
      <w:tr>
        <w:trPr/>
        <w:tc>
          <w:tcPr>
            <w:tcW w:w="679" w:type="dxa"/>
            <w:tcBorders>
              <w:top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9895" w:type="dxa"/>
            <w:gridSpan w:val="12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679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Javna rasvjeta</w:t>
            </w:r>
          </w:p>
        </w:tc>
        <w:tc>
          <w:tcPr>
            <w:tcW w:w="1463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311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10.000,00</w:t>
            </w:r>
          </w:p>
        </w:tc>
        <w:tc>
          <w:tcPr>
            <w:tcW w:w="1300" w:type="dxa"/>
            <w:gridSpan w:val="4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328,43</w:t>
            </w:r>
          </w:p>
        </w:tc>
        <w:tc>
          <w:tcPr>
            <w:tcW w:w="176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Proračun Općine= 10.000,00</w:t>
            </w:r>
          </w:p>
          <w:p>
            <w:pPr>
              <w:pStyle w:val="NoSpacing"/>
              <w:widowControl w:val="false"/>
              <w:rPr/>
            </w:pPr>
            <w:bookmarkStart w:id="0" w:name="__DdeLink__4777_4266464196"/>
            <w:r>
              <w:rPr>
                <w:rFonts w:cs="Times New Roman" w:ascii="Times New Roman" w:hAnsi="Times New Roman"/>
                <w:b/>
                <w:bCs/>
                <w:sz w:val="14"/>
                <w:szCs w:val="14"/>
              </w:rPr>
              <w:t>IZVRŠENJE</w:t>
            </w:r>
            <w:bookmarkEnd w:id="0"/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Proračun Općine= 328,43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994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4511.10</w:t>
            </w:r>
          </w:p>
        </w:tc>
      </w:tr>
      <w:tr>
        <w:trPr/>
        <w:tc>
          <w:tcPr>
            <w:tcW w:w="6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lampi = 4.000,00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Postava lampi = 1.000,00 EUR </w:t>
            </w:r>
          </w:p>
        </w:tc>
        <w:tc>
          <w:tcPr>
            <w:tcW w:w="1463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79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63" w:type="dxa"/>
            <w:gridSpan w:val="2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gridSpan w:val="2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7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9895" w:type="dxa"/>
            <w:gridSpan w:val="1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NERAZVRSTANE CESTE</w:t>
            </w:r>
          </w:p>
        </w:tc>
      </w:tr>
      <w:tr>
        <w:trPr>
          <w:trHeight w:val="685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Modernizacija nerazvrstanih cesta na području općine Mihovljan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176.000,00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167.727,49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 xml:space="preserve">Proračun Općine = 104.000,00 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Pomoći = 70.200,00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4"/>
                <w:szCs w:val="14"/>
              </w:rPr>
              <w:t xml:space="preserve">Proračun Općine = </w:t>
            </w:r>
            <w:r>
              <w:rPr>
                <w:color w:val="auto"/>
                <w:sz w:val="14"/>
                <w:szCs w:val="14"/>
              </w:rPr>
              <w:t>97.527,49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Pomoći = 70.200,00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171.000,00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4.500,00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bookmarkStart w:id="1" w:name="__DdeLink__840_2243921593"/>
            <w:r>
              <w:rPr>
                <w:sz w:val="22"/>
                <w:szCs w:val="22"/>
              </w:rPr>
              <w:t>Rekonstrukcija postojeće ner. ceste M-Mihovljan-Večkovići- Kovačići-građevina infrastr. namjene 2. skupine</w:t>
            </w:r>
            <w:bookmarkEnd w:id="1"/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1.060.000,00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9.107,50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Općine= 15.000,00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Općine= 9.107,50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4511.11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1.032.600,00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Konzultantske usluge = 1.400,00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26.000,00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67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9895" w:type="dxa"/>
            <w:gridSpan w:val="1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JAVNA PARKIRALIŠTA</w:t>
            </w:r>
          </w:p>
        </w:tc>
      </w:tr>
      <w:tr>
        <w:trPr>
          <w:trHeight w:val="312" w:hRule="atLeast"/>
        </w:trPr>
        <w:tc>
          <w:tcPr>
            <w:tcW w:w="679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Izgradnja parkirališta u Mihovljanu (kraj vage)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izgradnja na k.č.br. 1095 k.o. Mihovljan)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4213.15</w:t>
            </w:r>
          </w:p>
        </w:tc>
      </w:tr>
      <w:tr>
        <w:trPr>
          <w:trHeight w:val="312" w:hRule="atLeast"/>
        </w:trPr>
        <w:tc>
          <w:tcPr>
            <w:tcW w:w="679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= 500,00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4.000,00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500,00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2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9895" w:type="dxa"/>
            <w:gridSpan w:val="12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JAVNE POVRŠINE KOJIMA NIJE DOPUŠTEN PROMET MOTORNIM VOZILIMA</w:t>
            </w:r>
          </w:p>
        </w:tc>
      </w:tr>
      <w:tr>
        <w:trPr/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Nogostup i oborinska odvodnja uz županijsku cestu ŽC2125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125.000,00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74.000,00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65.126,73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Proračun Općine= 44.000,00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" w:name="__DdeLink__818_34476932742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</w:t>
            </w:r>
            <w:bookmarkEnd w:id="2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omoći =30.000,00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Proračun Općine= 65.126,73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679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122.000,00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3.000,00 EUR</w:t>
            </w:r>
          </w:p>
        </w:tc>
        <w:tc>
          <w:tcPr>
            <w:tcW w:w="1463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994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16" w:hRule="atLeast"/>
        </w:trPr>
        <w:tc>
          <w:tcPr>
            <w:tcW w:w="679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>b)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Projekt za nogostup i oborinsku odvodnju uz </w:t>
            </w:r>
            <w:r>
              <w:rPr>
                <w:sz w:val="22"/>
                <w:szCs w:val="22"/>
              </w:rPr>
              <w:t xml:space="preserve">županijsku cestu ŽC2125 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/>
            </w:pPr>
            <w:r>
              <w:rPr/>
              <w:t>26.000,00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/>
            </w:pPr>
            <w:r>
              <w:rPr/>
              <w:t>750,00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26.000,00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750,00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4126.12</w:t>
            </w:r>
          </w:p>
        </w:tc>
      </w:tr>
      <w:tr>
        <w:trPr>
          <w:trHeight w:val="51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= 15.000,00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6" w:hRule="atLeast"/>
        </w:trPr>
        <w:tc>
          <w:tcPr>
            <w:tcW w:w="679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c)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Autobusno stajalište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/>
            </w:pPr>
            <w:r>
              <w:rPr/>
              <w:t>4.835,00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4.835,00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4213.16</w:t>
            </w:r>
          </w:p>
        </w:tc>
      </w:tr>
      <w:tr>
        <w:trPr>
          <w:trHeight w:val="51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i postava = 5.000,00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79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9895" w:type="dxa"/>
            <w:gridSpan w:val="1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GRAĐEVINE I UREĐAJI JAVNE NAMJENE</w:t>
            </w:r>
          </w:p>
        </w:tc>
      </w:tr>
      <w:tr>
        <w:trPr/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Vrata za zgradu općine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2.741,90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=3.000,00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=2.741,90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4221.22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Nabava i postava =3.000,00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  <w:right w:val="nil"/>
            </w:tcBorders>
            <w:shd w:color="auto" w:fill="EEEEEE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  <w:szCs w:val="22"/>
              </w:rPr>
              <w:t>b)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 xml:space="preserve">Pomoćne prostorije kraj Društvenog doma Mihovljan </w:t>
            </w:r>
            <w:r>
              <w:rPr>
                <w:color w:val="auto"/>
                <w:sz w:val="16"/>
                <w:szCs w:val="16"/>
              </w:rPr>
              <w:t>(planira se obnova na k.č.br. 3521 k.o. Mihovljan)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4511.18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Troškovnik = 300,00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Izvođenje radova = 9.200,00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01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>c)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Zgrada općine – prostorija u potkrovlju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16"/>
                <w:szCs w:val="16"/>
              </w:rPr>
              <w:t>(postojeći troškovnik za sanaciju/obnovu zgrade na k.č.br. 1187/2 k.o. Mihovljan)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10.000,00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4511.19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Izvođenje radova = 9.500,00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463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62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994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d)</w:t>
            </w:r>
          </w:p>
        </w:tc>
        <w:tc>
          <w:tcPr>
            <w:tcW w:w="3065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Zemljište u centru Mihovljana</w:t>
            </w:r>
          </w:p>
        </w:tc>
        <w:tc>
          <w:tcPr>
            <w:tcW w:w="1463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25.000,00</w:t>
            </w:r>
          </w:p>
        </w:tc>
        <w:tc>
          <w:tcPr>
            <w:tcW w:w="1311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00" w:type="dxa"/>
            <w:gridSpan w:val="4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762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9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4111.95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  <w:szCs w:val="22"/>
              </w:rPr>
              <w:t>e)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Kupnja zgrade u centru Mihovljana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(planira se kupnja objekta na k.č.br. 2683/4 k.o. Mihovljan)</w:t>
            </w:r>
          </w:p>
        </w:tc>
        <w:tc>
          <w:tcPr>
            <w:tcW w:w="1463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25.000,00</w:t>
            </w:r>
          </w:p>
        </w:tc>
        <w:tc>
          <w:tcPr>
            <w:tcW w:w="1311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00" w:type="dxa"/>
            <w:gridSpan w:val="4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762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994" w:type="dxa"/>
            <w:gridSpan w:val="2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4211.91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bCs/>
                <w:color w:val="auto"/>
                <w:sz w:val="22"/>
                <w:szCs w:val="22"/>
              </w:rPr>
              <w:t>e)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Projekti - izrada projekata i geodezija</w:t>
            </w:r>
          </w:p>
        </w:tc>
        <w:tc>
          <w:tcPr>
            <w:tcW w:w="1463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12.000,00</w:t>
            </w:r>
          </w:p>
        </w:tc>
        <w:tc>
          <w:tcPr>
            <w:tcW w:w="1311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57.000,00</w:t>
            </w:r>
          </w:p>
        </w:tc>
        <w:tc>
          <w:tcPr>
            <w:tcW w:w="1300" w:type="dxa"/>
            <w:gridSpan w:val="4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56.500,93</w:t>
            </w:r>
          </w:p>
        </w:tc>
        <w:tc>
          <w:tcPr>
            <w:tcW w:w="1762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56.500,93</w:t>
            </w:r>
          </w:p>
        </w:tc>
        <w:tc>
          <w:tcPr>
            <w:tcW w:w="99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bCs/>
                <w:color w:val="auto"/>
                <w:sz w:val="22"/>
                <w:szCs w:val="22"/>
              </w:rPr>
              <w:t>f)</w:t>
            </w:r>
          </w:p>
        </w:tc>
        <w:tc>
          <w:tcPr>
            <w:tcW w:w="3065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auto"/>
                <w:sz w:val="22"/>
                <w:szCs w:val="22"/>
              </w:rPr>
              <w:t>Dokumentacija i projekt za rekonstrukciju- dogradnju i prenamjenu zgrade u vatrogasni dom</w:t>
            </w:r>
          </w:p>
        </w:tc>
        <w:tc>
          <w:tcPr>
            <w:tcW w:w="1463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35.000,00</w:t>
            </w:r>
          </w:p>
        </w:tc>
        <w:tc>
          <w:tcPr>
            <w:tcW w:w="1311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35.000,00</w:t>
            </w:r>
          </w:p>
        </w:tc>
        <w:tc>
          <w:tcPr>
            <w:tcW w:w="1300" w:type="dxa"/>
            <w:gridSpan w:val="4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33.588,75</w:t>
            </w:r>
          </w:p>
        </w:tc>
        <w:tc>
          <w:tcPr>
            <w:tcW w:w="1762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Općine= 35.000,00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Općine= 33.588,75</w:t>
            </w:r>
          </w:p>
        </w:tc>
        <w:tc>
          <w:tcPr>
            <w:tcW w:w="99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4126.19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g)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Društveni dom – izrada rampe za invalide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3" w:name="__DdeLink__2872_2713533944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2.000,00</w:t>
            </w:r>
            <w:bookmarkEnd w:id="3"/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4" w:name="__DdeLink__2872_27135339441"/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  <w:bookmarkEnd w:id="4"/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4511.12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Izvođenje radova = 2.000,00EUR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h)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Izrada dokumentacije za poziv Obnova javne kulturne infrastruk.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9.062,50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10.000,00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Proračun Općine = 9.062,50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4126.15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Projekt = 10.000,00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j)</w:t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Kamere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5.000,00</w:t>
            </w:r>
          </w:p>
        </w:tc>
        <w:tc>
          <w:tcPr>
            <w:tcW w:w="1300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3.052,99</w:t>
            </w:r>
          </w:p>
        </w:tc>
        <w:tc>
          <w:tcPr>
            <w:tcW w:w="176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 xml:space="preserve">Proračun Općine = 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5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 xml:space="preserve">Proračun Općine = 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3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.0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5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2,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99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Postava = 5.000,00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0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7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9895" w:type="dxa"/>
            <w:gridSpan w:val="1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GROBLJA</w:t>
            </w:r>
          </w:p>
        </w:tc>
      </w:tr>
      <w:tr>
        <w:trPr/>
        <w:tc>
          <w:tcPr>
            <w:tcW w:w="67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Mrtvačnica Mihovljan – prilazne stepenice</w:t>
            </w:r>
          </w:p>
        </w:tc>
        <w:tc>
          <w:tcPr>
            <w:tcW w:w="1463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311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80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4511.16</w:t>
            </w:r>
          </w:p>
        </w:tc>
      </w:tr>
      <w:tr>
        <w:trPr/>
        <w:tc>
          <w:tcPr>
            <w:tcW w:w="6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Stručni nadzor = 200,00 EUR </w:t>
            </w:r>
          </w:p>
        </w:tc>
        <w:tc>
          <w:tcPr>
            <w:tcW w:w="1463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65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Kapelica na Mjesnom groblju Mihovljan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sz w:val="22"/>
                <w:szCs w:val="22"/>
              </w:rPr>
              <w:t>47.000,00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6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800,00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 = 44.900,00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=1.300,00 EUR</w:t>
            </w:r>
          </w:p>
        </w:tc>
        <w:tc>
          <w:tcPr>
            <w:tcW w:w="1463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65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Centralni križ na Mjesnom groblju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4511.17</w:t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Troškovnik = 300,00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9.800,00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bookmarkStart w:id="5" w:name="__DdeLink__743_2135945401"/>
            <w:r>
              <w:rPr>
                <w:sz w:val="20"/>
                <w:szCs w:val="20"/>
              </w:rPr>
              <w:t>Nadzor = 500,00 EUR</w:t>
            </w:r>
            <w:bookmarkEnd w:id="5"/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highlight w:val="lightGray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06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hd w:val="clear" w:fill="EEEEEE"/>
              <w:jc w:val="both"/>
              <w:rPr>
                <w:highlight w:val="lightGray"/>
              </w:rPr>
            </w:pPr>
            <w:r>
              <w:rPr/>
              <w:t>Vrata za mrtvačnicu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4221.23</w:t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postava = 4.000,00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06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Oprema za mrtvačnicu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5.000,00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4221.93</w:t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306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Zemljište za proširenje Mjesnog groblja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kupnja zemljišta označenog kao k.č.br. 1209,01208 i 1296/3 k.o. Mihovljan)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4111.94</w:t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Elaborat procjene = 500,00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Kupnja zemljišta = 9.500,00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06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Izrada betonskih okvira na Mjesnom groblju Mihovljan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(Na novom zemljištu  k.č.br. 1209,1208 i 1296/3 k.o. Mihovljan)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20.000,00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4214.64</w:t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19.200,00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800,00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Projekti i geodezija za Mjesno groblje Mihovljan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4126.16</w:t>
            </w:r>
          </w:p>
        </w:tc>
      </w:tr>
      <w:tr>
        <w:trPr/>
        <w:tc>
          <w:tcPr>
            <w:tcW w:w="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i geodezija= 12.000,00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95" w:type="dxa"/>
            <w:gridSpan w:val="1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79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9895" w:type="dxa"/>
            <w:gridSpan w:val="12"/>
            <w:tcBorders/>
            <w:shd w:color="auto" w:fill="D9D9D9" w:themeFill="background1" w:themeFillShade="d9" w:val="clear"/>
          </w:tcPr>
          <w:p>
            <w:pPr>
              <w:pStyle w:val="Normal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JAVNE ZELENE POVRŠINE</w:t>
            </w:r>
          </w:p>
        </w:tc>
      </w:tr>
      <w:tr>
        <w:trPr/>
        <w:tc>
          <w:tcPr>
            <w:tcW w:w="67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6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Izgradnja Parka hrvatskih branitelja u Mihovljanu </w:t>
            </w:r>
          </w:p>
        </w:tc>
        <w:tc>
          <w:tcPr>
            <w:tcW w:w="1463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40.000,00</w:t>
            </w:r>
          </w:p>
        </w:tc>
        <w:tc>
          <w:tcPr>
            <w:tcW w:w="1311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60.000,00</w:t>
            </w:r>
          </w:p>
        </w:tc>
        <w:tc>
          <w:tcPr>
            <w:tcW w:w="1257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57.405,63</w:t>
            </w:r>
          </w:p>
        </w:tc>
        <w:tc>
          <w:tcPr>
            <w:tcW w:w="1999" w:type="dxa"/>
            <w:gridSpan w:val="4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4"/>
                <w:szCs w:val="14"/>
              </w:rPr>
              <w:t xml:space="preserve">Pomoći = 33.000,00 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 27.000,00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 57.405,63</w:t>
            </w:r>
          </w:p>
        </w:tc>
        <w:tc>
          <w:tcPr>
            <w:tcW w:w="80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4214.62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Projekt = 4.250,00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Izvođenje radova = 34.571,42 EUR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Nadzor = 995,42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3" w:hRule="atLeast"/>
        </w:trPr>
        <w:tc>
          <w:tcPr>
            <w:tcW w:w="679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65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Dječje igralište sa igralima i spravama</w:t>
            </w:r>
          </w:p>
        </w:tc>
        <w:tc>
          <w:tcPr>
            <w:tcW w:w="1463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5.000,00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5.000,00</w:t>
            </w:r>
          </w:p>
        </w:tc>
        <w:tc>
          <w:tcPr>
            <w:tcW w:w="80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4214.99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6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463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99" w:type="dxa"/>
            <w:gridSpan w:val="4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800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</w:rPr>
              <w:t>c)</w:t>
            </w:r>
          </w:p>
        </w:tc>
        <w:tc>
          <w:tcPr>
            <w:tcW w:w="306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Zemljište- za Dječje igralište</w:t>
            </w:r>
          </w:p>
        </w:tc>
        <w:tc>
          <w:tcPr>
            <w:tcW w:w="1463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 xml:space="preserve">500,00 </w:t>
            </w:r>
          </w:p>
        </w:tc>
        <w:tc>
          <w:tcPr>
            <w:tcW w:w="1311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500,00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500,00</w:t>
            </w:r>
          </w:p>
        </w:tc>
        <w:tc>
          <w:tcPr>
            <w:tcW w:w="8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4111.93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6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Centar – klupe, koševi i druga oprema</w:t>
            </w:r>
          </w:p>
        </w:tc>
        <w:tc>
          <w:tcPr>
            <w:tcW w:w="1463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311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5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999" w:type="dxa"/>
            <w:gridSpan w:val="4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TEKUĆI PLAN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14"/>
                <w:szCs w:val="14"/>
              </w:rPr>
              <w:t>IZVRŠENJE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Proračun Općine = 0,00</w:t>
            </w:r>
          </w:p>
        </w:tc>
        <w:tc>
          <w:tcPr>
            <w:tcW w:w="8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4221.94</w:t>
            </w:r>
          </w:p>
        </w:tc>
      </w:tr>
      <w:tr>
        <w:trPr>
          <w:trHeight w:val="340" w:hRule="atLeast"/>
        </w:trPr>
        <w:tc>
          <w:tcPr>
            <w:tcW w:w="3747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463" w:type="dxa"/>
            <w:gridSpan w:val="2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1.672.500,00 EUR </w:t>
            </w:r>
          </w:p>
        </w:tc>
        <w:tc>
          <w:tcPr>
            <w:tcW w:w="1311" w:type="dxa"/>
            <w:gridSpan w:val="2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83</w:t>
            </w:r>
            <w:r>
              <w:rPr>
                <w:b/>
                <w:bCs/>
                <w:sz w:val="20"/>
                <w:szCs w:val="20"/>
              </w:rPr>
              <w:t xml:space="preserve">.000,00 </w:t>
              <w:br/>
              <w:t>EUR</w:t>
            </w:r>
          </w:p>
        </w:tc>
        <w:tc>
          <w:tcPr>
            <w:tcW w:w="1257" w:type="dxa"/>
            <w:gridSpan w:val="2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227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2796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/>
      </w:pPr>
      <w:r>
        <w:rPr>
          <w:sz w:val="22"/>
          <w:szCs w:val="22"/>
        </w:rPr>
        <w:tab/>
        <w:t xml:space="preserve">Sredstva potrebna za realizaciju Programa građenja komunalne infrastrukture osigurala su se iz općih poreznih prihoda, kapitalne potpora iz LAG-a, kapitalne potpore iz ŽUC-a KZŽ, prihoda od kapitalnih potpora resornih Ministarstva,  Fondova EU.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rFonts w:cs="Arial Narrow"/>
          <w:b w:val="false"/>
          <w:bCs w:val="false"/>
          <w:sz w:val="22"/>
          <w:szCs w:val="20"/>
        </w:rPr>
        <w:t xml:space="preserve">Ovaj Izvještaj o izvršenju </w:t>
      </w:r>
      <w:r>
        <w:rPr>
          <w:rFonts w:cs="Tahoma"/>
          <w:b w:val="false"/>
          <w:bCs w:val="false"/>
          <w:sz w:val="22"/>
          <w:szCs w:val="20"/>
        </w:rPr>
        <w:t>Programa gradnje objekata i uređaja komunalne infrastrukture</w:t>
      </w:r>
      <w:r>
        <w:rPr>
          <w:rFonts w:cs="Arial Narrow"/>
          <w:b w:val="false"/>
          <w:bCs w:val="false"/>
          <w:sz w:val="22"/>
          <w:szCs w:val="20"/>
        </w:rPr>
        <w:t xml:space="preserve"> u 2024. godini sastavni je dio godišnjeg izvješća o izvršenju Proračuna Općine Mihovljan za 2024. godini i objaviti će se u Službenom glasniku Krapinsko – zagorske županije.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 xml:space="preserve">   </w:t>
        <w:tab/>
        <w:tab/>
        <w:t xml:space="preserve">             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>
    <w:name w:val="ListLabel 71"/>
    <w:qFormat/>
    <w:rPr>
      <w:rFonts w:cs="Segoe UI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eastAsia="Lucida Sans Unicode" w:cs="Times New Roman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Times New Roman"/>
      <w:sz w:val="22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Times New Roman"/>
      <w:sz w:val="22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Times New Roman"/>
      <w:sz w:val="22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Times New Roman"/>
      <w:sz w:val="22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Times New Roman"/>
      <w:sz w:val="22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Times New Roman"/>
      <w:sz w:val="22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Times New Roman"/>
      <w:sz w:val="22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Times New Roman"/>
      <w:sz w:val="22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Times New Roman"/>
      <w:sz w:val="22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Times New Roman"/>
      <w:sz w:val="22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Times New Roman"/>
      <w:sz w:val="22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Times New Roman"/>
      <w:sz w:val="22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Times New Roman"/>
      <w:sz w:val="22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Times New Roman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Times New Roman"/>
      <w:sz w:val="22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Times New Roman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Times New Roman"/>
      <w:sz w:val="22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Times New Roman"/>
      <w:sz w:val="22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Application>LibreOffice/6.2.4.2$Windows_X86_64 LibreOffice_project/2412653d852ce75f65fbfa83fb7e7b669a126d64</Application>
  <Pages>4</Pages>
  <Words>1326</Words>
  <Characters>8131</Characters>
  <CharactersWithSpaces>9121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2023-01-07T14:17:00Z</dcterms:created>
  <dc:creator>URED-PC</dc:creator>
  <dc:description/>
  <dc:language>hr-HR</dc:language>
  <cp:lastModifiedBy/>
  <dcterms:modified xsi:type="dcterms:W3CDTF">2025-04-30T13:09:30Z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