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716" w:type="dxa"/>
        <w:jc w:val="left"/>
        <w:tblInd w:w="-54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0"/>
        <w:gridCol w:w="6565"/>
      </w:tblGrid>
      <w:tr>
        <w:trPr>
          <w:trHeight w:val="1611" w:hRule="atLeast"/>
        </w:trPr>
        <w:tc>
          <w:tcPr>
            <w:tcW w:w="41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</w:rPr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363-01/25-01/38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22. prosinac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odredbe članka 67. Stavak 1 Zakona o komunalnom gospodarstvu („Narodne novine“ broj 68/18 i 110/18, 32/20 i 145/24), članka 30. Zakona o vodama („Narodne Novine“ br. 66/19, 84/21 i 47/23) i članka 39. Statuta Općine Mihovljan („Službeni glasnik Krapinsko-zagorske županije“ br. 5/13, 11/18, 8/20 i 8/21), Općinsko vijeće Općine Mihovljan na svojoj 05. sjednici održanoj dana 22. prosinca 2025.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GRAĐENJA OBJEKATA KOMUNALNE INFRASTRUKTURE </w:t>
      </w:r>
      <w:r>
        <w:rPr>
          <w:b/>
          <w:sz w:val="22"/>
          <w:szCs w:val="22"/>
        </w:rPr>
        <w:t xml:space="preserve">NA PODRUČJU OPĆINE MIHOVLJAN </w:t>
      </w:r>
      <w:r>
        <w:rPr>
          <w:b/>
          <w:sz w:val="22"/>
          <w:szCs w:val="22"/>
        </w:rPr>
        <w:t>U 2026. GODINI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/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2026.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radi uređenja neuređenih dijelova građevinskog </w:t>
        <w:br/>
        <w:t>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106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/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10156" w:type="dxa"/>
        <w:jc w:val="left"/>
        <w:tblInd w:w="-11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7"/>
        <w:gridCol w:w="4505"/>
        <w:gridCol w:w="19"/>
        <w:gridCol w:w="1628"/>
        <w:gridCol w:w="1"/>
        <w:gridCol w:w="2099"/>
        <w:gridCol w:w="1"/>
        <w:gridCol w:w="1166"/>
      </w:tblGrid>
      <w:tr>
        <w:trPr>
          <w:trHeight w:val="397" w:hRule="atLeast"/>
        </w:trPr>
        <w:tc>
          <w:tcPr>
            <w:tcW w:w="10156" w:type="dxa"/>
            <w:gridSpan w:val="8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73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r.br.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Opis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Planirano ukupno (EUR)</w:t>
            </w:r>
          </w:p>
        </w:tc>
        <w:tc>
          <w:tcPr>
            <w:tcW w:w="2100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Izvori financiranja</w:t>
            </w:r>
          </w:p>
        </w:tc>
        <w:tc>
          <w:tcPr>
            <w:tcW w:w="1167" w:type="dxa"/>
            <w:gridSpan w:val="2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Pozicija</w:t>
            </w:r>
          </w:p>
        </w:tc>
      </w:tr>
      <w:tr>
        <w:trPr/>
        <w:tc>
          <w:tcPr>
            <w:tcW w:w="737" w:type="dxa"/>
            <w:tcBorders>
              <w:top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1.1.</w:t>
            </w:r>
          </w:p>
        </w:tc>
        <w:tc>
          <w:tcPr>
            <w:tcW w:w="9419" w:type="dxa"/>
            <w:gridSpan w:val="7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JAVNA RASVJETA</w:t>
            </w:r>
          </w:p>
        </w:tc>
      </w:tr>
      <w:tr>
        <w:trPr>
          <w:trHeight w:val="356" w:hRule="atLeast"/>
        </w:trPr>
        <w:tc>
          <w:tcPr>
            <w:tcW w:w="73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4505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Javna rasvjeta</w:t>
            </w:r>
          </w:p>
        </w:tc>
        <w:tc>
          <w:tcPr>
            <w:tcW w:w="1647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10.000,00</w:t>
            </w:r>
          </w:p>
        </w:tc>
        <w:tc>
          <w:tcPr>
            <w:tcW w:w="2100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color w:val="auto"/>
                <w:sz w:val="14"/>
                <w:szCs w:val="14"/>
              </w:rPr>
              <w:t>Proračun Općine (11-Opći prihodi i primici) = 10.000,00 eura</w:t>
            </w:r>
          </w:p>
        </w:tc>
        <w:tc>
          <w:tcPr>
            <w:tcW w:w="1167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4511.10</w:t>
            </w:r>
          </w:p>
        </w:tc>
      </w:tr>
      <w:tr>
        <w:trPr>
          <w:trHeight w:val="622" w:hRule="atLeast"/>
        </w:trPr>
        <w:tc>
          <w:tcPr>
            <w:tcW w:w="73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Nabava lampi = 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Postava lampi = 1.000,00 EUR</w:t>
            </w:r>
          </w:p>
        </w:tc>
        <w:tc>
          <w:tcPr>
            <w:tcW w:w="1647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100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1167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7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1.2.</w:t>
            </w:r>
          </w:p>
        </w:tc>
        <w:tc>
          <w:tcPr>
            <w:tcW w:w="9419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NERAZVRSTANE CESTE</w:t>
            </w:r>
          </w:p>
        </w:tc>
      </w:tr>
      <w:tr>
        <w:trPr>
          <w:trHeight w:val="618" w:hRule="atLeast"/>
        </w:trPr>
        <w:tc>
          <w:tcPr>
            <w:tcW w:w="737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a)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Presvlačenje asfaltom i asfaltiranje nerazvrstanih cesta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 xml:space="preserve">11- Opći prihodi i primici </w:t>
            </w:r>
            <w:r>
              <w:rPr>
                <w:b w:val="false"/>
                <w:bCs w:val="false"/>
                <w:color w:val="auto"/>
                <w:sz w:val="14"/>
                <w:szCs w:val="14"/>
              </w:rPr>
              <w:t>=  20.000,00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50 -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 xml:space="preserve">ći iz državnog proračuna </w:t>
            </w: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 = 80.000,00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Troškovnik = 1.000,00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bookmarkStart w:id="0" w:name="__DdeLink__638_844974037"/>
            <w:r>
              <w:rPr>
                <w:color w:val="auto"/>
                <w:sz w:val="20"/>
                <w:szCs w:val="20"/>
              </w:rPr>
              <w:t>Izvođenje radova = 96.000,00 EUR</w:t>
            </w:r>
            <w:bookmarkEnd w:id="0"/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Nadzor = 3.000,00 EUR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37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b)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C9211E"/>
                <w:highlight w:val="yellow"/>
              </w:rPr>
            </w:pPr>
            <w:bookmarkStart w:id="1" w:name="__DdeLink__840_2243921593"/>
            <w:r>
              <w:rPr>
                <w:color w:val="auto"/>
                <w:sz w:val="20"/>
                <w:szCs w:val="20"/>
              </w:rPr>
              <w:t>Rekonstrukcija postojeće nerazvrstane ceste M -Mihovljan – Večkovići - Kovačići – građevina infrastrukturne namjene 2. skupine</w:t>
            </w:r>
            <w:bookmarkEnd w:id="1"/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581 -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Mehanizam za oporavak i otpornost - bespovratna sredstva</w:t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= 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870.000,00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4511.12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Troškovi se sastoje od troškova radova, troškova stručnog nadzora, troškovi upravljanja projektom, troškovi promidžbe i vidljivosti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7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c)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Sanacija klizišta Mihovljan/Bokori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11- Opći prihodi i primici</w:t>
            </w:r>
            <w:r>
              <w:rPr>
                <w:b w:val="false"/>
                <w:bCs w:val="false"/>
                <w:color w:val="auto"/>
                <w:sz w:val="14"/>
                <w:szCs w:val="14"/>
              </w:rPr>
              <w:t>=  35.000,00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53 -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ći od izvan proračunskih korisnika</w:t>
            </w:r>
            <w:r>
              <w:rPr>
                <w:b w:val="false"/>
                <w:bCs w:val="false"/>
                <w:color w:val="auto"/>
                <w:sz w:val="14"/>
                <w:szCs w:val="14"/>
              </w:rPr>
              <w:t xml:space="preserve"> = 65.000,00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0"/>
                <w:szCs w:val="20"/>
              </w:rPr>
              <w:t>4213.18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Troškovnik = 1.000,00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Izvođenje radova = 96.000,00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Nadzor = 3.000,00 EUR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737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1.4.</w:t>
            </w:r>
          </w:p>
        </w:tc>
        <w:tc>
          <w:tcPr>
            <w:tcW w:w="9419" w:type="dxa"/>
            <w:gridSpan w:val="7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JAVNE POVRŠINE KOJIMA NIJE DOPUŠTEN PROMET MOTORNIM VOZILIMA</w:t>
            </w:r>
          </w:p>
        </w:tc>
      </w:tr>
      <w:tr>
        <w:trPr>
          <w:trHeight w:val="516" w:hRule="atLeast"/>
        </w:trPr>
        <w:tc>
          <w:tcPr>
            <w:tcW w:w="737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a)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Izvedba pješačke staze uz nerazvrstanu cestu u naselju Mihovljan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8" w:leader="none"/>
              </w:tabs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0"/>
                <w:szCs w:val="20"/>
              </w:rPr>
              <w:t>60.000,00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52 – Ostale pomoći=33.000,00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11–Opći prihodi i primici</w:t>
            </w:r>
            <w:r>
              <w:rPr>
                <w:b w:val="false"/>
                <w:bCs w:val="false"/>
                <w:color w:val="auto"/>
                <w:sz w:val="14"/>
                <w:szCs w:val="14"/>
              </w:rPr>
              <w:t>=  27.000,00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  <w:sz w:val="22"/>
              </w:rPr>
              <w:t>4213.14</w:t>
            </w:r>
          </w:p>
        </w:tc>
      </w:tr>
      <w:tr>
        <w:trPr>
          <w:trHeight w:val="51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Izvođenje radova = 58.000,00 EUR</w:t>
            </w:r>
          </w:p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Nadzor = 2.000,00 EUR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08" w:leader="none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7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1.5.</w:t>
            </w:r>
          </w:p>
        </w:tc>
        <w:tc>
          <w:tcPr>
            <w:tcW w:w="9419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GRAĐEVINE I UREĐAJI JAVNE NAMJENE</w:t>
            </w:r>
          </w:p>
        </w:tc>
      </w:tr>
      <w:tr>
        <w:trPr/>
        <w:tc>
          <w:tcPr>
            <w:tcW w:w="737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a)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Rekonstrukcija i dogradnja i prenamjena postojeće zgrade u Vatrogasni dom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1.500.000,00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>
                <w:rFonts w:cs="Times New Roman"/>
                <w:b w:val="false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563 - Europski fond za regionalni razvoj (EFRR) =400.000,00 eura</w:t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 xml:space="preserve">81 - </w:t>
            </w: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Namjenski primici od zadu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živanja = 1.100.000,00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4511.25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Troškovi obuhvaćaju radove, stručni nadzor, vođenje projekta, troškove provođenja javne nabave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vatrogasni dom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2100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563 - Europski fond za regionalni razvoj (EFRR) =100.000,00 eura</w:t>
            </w:r>
          </w:p>
        </w:tc>
        <w:tc>
          <w:tcPr>
            <w:tcW w:w="1167" w:type="dxa"/>
            <w:gridSpan w:val="2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4221.95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Rekonstrukcija prostorija općine Mihovljan /tavanski prostor 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125.000,00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 xml:space="preserve">50 -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ći iz državnog proračuna</w:t>
            </w: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 xml:space="preserve"> = 100.000,00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11–Opći prihodi i primici=  25.000,00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4511.18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Troškovnik = 1.500,00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Izvođenje radova = 122.000,00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Nadzor = 1.500,00 EUR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737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d)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Prilagođavanje prostora zgrade javne i društvene namjene (osnovnoškolska ustanova) za zgradu javne i društvene namjene (Društveni dom)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1.007.000,00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581-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Mehanizam za oporavak i otpornost - bespovratna sredstva</w:t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= 875.146,35 eura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 xml:space="preserve"> 131.853,65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4511.19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color w:val="C9211E"/>
                <w:sz w:val="20"/>
                <w:szCs w:val="20"/>
              </w:rPr>
            </w:pPr>
            <w:r>
              <w:rPr>
                <w:bCs/>
                <w:color w:val="C9211E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Izvođenje radova = 912.455,38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Nadzor = 15.625,00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Ostalo = 78.919,62 EUR</w:t>
            </w:r>
          </w:p>
        </w:tc>
        <w:tc>
          <w:tcPr>
            <w:tcW w:w="1647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color w:val="C9211E"/>
                <w:sz w:val="20"/>
                <w:szCs w:val="20"/>
              </w:rPr>
            </w:pPr>
            <w:r>
              <w:rPr>
                <w:bCs/>
                <w:color w:val="C9211E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color w:val="C9211E"/>
                <w:sz w:val="14"/>
                <w:szCs w:val="14"/>
              </w:rPr>
            </w:pPr>
            <w:r>
              <w:rPr>
                <w:bCs/>
                <w:color w:val="C9211E"/>
                <w:sz w:val="14"/>
                <w:szCs w:val="14"/>
              </w:rPr>
            </w:r>
          </w:p>
        </w:tc>
        <w:tc>
          <w:tcPr>
            <w:tcW w:w="1167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7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e)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C9211E"/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Razvoj zelene infrastrukture u urbanom području Općine Mihovljan (na više katastarskih čestica)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C9211E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250.000,00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563-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Europski fond za regionalni razvoj (EFRR) = 200.000,00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14"/>
                <w:szCs w:val="1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91-Preneseni vi</w:t>
            </w:r>
            <w:r>
              <w:rPr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šak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auto"/>
                <w:sz w:val="14"/>
                <w:szCs w:val="14"/>
              </w:rPr>
              <w:t>=</w:t>
            </w:r>
            <w:r>
              <w:rPr>
                <w:rFonts w:cs="Times New Roman"/>
                <w:bCs/>
                <w:i w:val="false"/>
                <w:iCs w:val="false"/>
                <w:color w:val="auto"/>
                <w:sz w:val="14"/>
                <w:szCs w:val="14"/>
              </w:rPr>
              <w:t xml:space="preserve"> 50.000,00 eura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4213.19</w:t>
            </w:r>
          </w:p>
        </w:tc>
      </w:tr>
      <w:tr>
        <w:trPr>
          <w:trHeight w:val="506" w:hRule="atLeast"/>
        </w:trPr>
        <w:tc>
          <w:tcPr>
            <w:tcW w:w="737" w:type="dxa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Navedeni troškovi sastoje se od troškova radova, troškova stručnog nadzora, troškova upravljanja projektom, troškovi promidžbe i vidljivosti</w:t>
            </w:r>
          </w:p>
        </w:tc>
        <w:tc>
          <w:tcPr>
            <w:tcW w:w="164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</w:r>
          </w:p>
        </w:tc>
        <w:tc>
          <w:tcPr>
            <w:tcW w:w="116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</w:t>
            </w:r>
            <w:r>
              <w:rPr>
                <w:bCs/>
                <w:color w:val="auto"/>
                <w:sz w:val="20"/>
                <w:szCs w:val="20"/>
              </w:rPr>
              <w:t>f)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Multifunkcionalni kulturni i prez. centar u Mihovljanu (ishođena građevinska dozvola)</w:t>
            </w:r>
          </w:p>
        </w:tc>
        <w:tc>
          <w:tcPr>
            <w:tcW w:w="1647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80.000,00</w:t>
            </w:r>
          </w:p>
        </w:tc>
        <w:tc>
          <w:tcPr>
            <w:tcW w:w="2100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50-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ći iz državnog proračuna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 xml:space="preserve"> = 80.000,00 eura</w:t>
            </w:r>
          </w:p>
        </w:tc>
        <w:tc>
          <w:tcPr>
            <w:tcW w:w="116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4511.14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Društveni dom – prostorija u prizemlju</w:t>
            </w:r>
          </w:p>
        </w:tc>
        <w:tc>
          <w:tcPr>
            <w:tcW w:w="1647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2100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91-Preneseni vi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šak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14"/>
                <w:szCs w:val="14"/>
              </w:rPr>
              <w:t>=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color w:val="auto"/>
                <w:sz w:val="14"/>
                <w:szCs w:val="14"/>
              </w:rPr>
              <w:t xml:space="preserve"> 25.000,00 eura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 xml:space="preserve"> 5.000,00 eura</w:t>
            </w:r>
          </w:p>
        </w:tc>
        <w:tc>
          <w:tcPr>
            <w:tcW w:w="116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4511.17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</w:t>
            </w:r>
            <w:r>
              <w:rPr>
                <w:bCs/>
                <w:color w:val="auto"/>
                <w:sz w:val="20"/>
                <w:szCs w:val="20"/>
              </w:rPr>
              <w:t>h)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Projekti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33.000,00</w:t>
            </w:r>
          </w:p>
        </w:tc>
        <w:tc>
          <w:tcPr>
            <w:tcW w:w="2100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91-Preneseni vi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šak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=3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3.000,00 eura</w:t>
            </w:r>
          </w:p>
        </w:tc>
        <w:tc>
          <w:tcPr>
            <w:tcW w:w="1167" w:type="dxa"/>
            <w:gridSpan w:val="2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0"/>
                <w:szCs w:val="20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10156" w:type="dxa"/>
            <w:gridSpan w:val="8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Geodezija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  <w:tc>
          <w:tcPr>
            <w:tcW w:w="2100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91-Preneseni vi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šak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=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17.000,00 eura</w:t>
            </w:r>
          </w:p>
        </w:tc>
        <w:tc>
          <w:tcPr>
            <w:tcW w:w="1167" w:type="dxa"/>
            <w:gridSpan w:val="2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4126.14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Geodezija – ucrtavanje cesta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2100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91-Preneseni vi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  <w:em w:val="none"/>
              </w:rPr>
              <w:t>šak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=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10.000,00 eura</w:t>
            </w:r>
          </w:p>
        </w:tc>
        <w:tc>
          <w:tcPr>
            <w:tcW w:w="1167" w:type="dxa"/>
            <w:gridSpan w:val="2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4126.15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bCs/>
                <w:color w:val="auto"/>
                <w:sz w:val="20"/>
                <w:szCs w:val="20"/>
              </w:rPr>
              <w:t>l)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Izrada II. izmjene i dopune Prostornog plana Općine Mihovljan</w:t>
            </w:r>
          </w:p>
        </w:tc>
        <w:tc>
          <w:tcPr>
            <w:tcW w:w="1647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30.000,00</w:t>
            </w:r>
          </w:p>
        </w:tc>
        <w:tc>
          <w:tcPr>
            <w:tcW w:w="2100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50-</w:t>
            </w: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rFonts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ći iz državnog proračuna =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30.000,00 eura</w:t>
            </w:r>
          </w:p>
        </w:tc>
        <w:tc>
          <w:tcPr>
            <w:tcW w:w="116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4126.11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k)</w:t>
            </w:r>
          </w:p>
        </w:tc>
        <w:tc>
          <w:tcPr>
            <w:tcW w:w="4505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Digitalizacija</w:t>
            </w:r>
          </w:p>
        </w:tc>
        <w:tc>
          <w:tcPr>
            <w:tcW w:w="1647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2100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14"/>
                <w:szCs w:val="14"/>
              </w:rPr>
              <w:t>50-</w:t>
            </w: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rFonts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ći iz državnog proračuna =5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0.000,00 eura</w:t>
            </w:r>
          </w:p>
        </w:tc>
        <w:tc>
          <w:tcPr>
            <w:tcW w:w="1167" w:type="dxa"/>
            <w:gridSpan w:val="2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4221.90</w:t>
            </w:r>
          </w:p>
        </w:tc>
      </w:tr>
      <w:tr>
        <w:trPr/>
        <w:tc>
          <w:tcPr>
            <w:tcW w:w="73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2.1.</w:t>
            </w:r>
          </w:p>
        </w:tc>
        <w:tc>
          <w:tcPr>
            <w:tcW w:w="9419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color w:val="auto"/>
                <w:sz w:val="22"/>
                <w:szCs w:val="22"/>
              </w:rPr>
              <w:t>GROBLJA</w:t>
            </w:r>
          </w:p>
        </w:tc>
      </w:tr>
      <w:tr>
        <w:trPr/>
        <w:tc>
          <w:tcPr>
            <w:tcW w:w="73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a)</w:t>
            </w:r>
          </w:p>
        </w:tc>
        <w:tc>
          <w:tcPr>
            <w:tcW w:w="4524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Mrtvačnica Mihovljan – prilazne stepenice</w:t>
            </w:r>
          </w:p>
        </w:tc>
        <w:tc>
          <w:tcPr>
            <w:tcW w:w="1629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8.000,00</w:t>
            </w:r>
          </w:p>
        </w:tc>
        <w:tc>
          <w:tcPr>
            <w:tcW w:w="2100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 xml:space="preserve"> 8.000,00 eura</w:t>
            </w:r>
          </w:p>
        </w:tc>
        <w:tc>
          <w:tcPr>
            <w:tcW w:w="116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4511.16</w:t>
            </w:r>
          </w:p>
        </w:tc>
      </w:tr>
      <w:tr>
        <w:trPr/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Stručni nadzor = 200,00 EUR </w:t>
            </w:r>
          </w:p>
        </w:tc>
        <w:tc>
          <w:tcPr>
            <w:tcW w:w="1629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6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b)</w:t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Kapelica na Mjesnom groblju Mihovljan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10.000,00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 xml:space="preserve"> 10.000,00 eura</w:t>
            </w:r>
          </w:p>
        </w:tc>
        <w:tc>
          <w:tcPr>
            <w:tcW w:w="116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7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Izvođenje radova  = 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Nadzor = 500,00 EUR</w:t>
            </w:r>
          </w:p>
        </w:tc>
        <w:tc>
          <w:tcPr>
            <w:tcW w:w="1629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6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c)</w:t>
            </w:r>
          </w:p>
        </w:tc>
        <w:tc>
          <w:tcPr>
            <w:tcW w:w="4524" w:type="dxa"/>
            <w:gridSpan w:val="2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hd w:val="clear" w:fill="EEEEE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Mrtvačnica - vrata za podrumski dio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5.000,00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 xml:space="preserve"> 5.000,00 eura</w:t>
            </w:r>
          </w:p>
        </w:tc>
        <w:tc>
          <w:tcPr>
            <w:tcW w:w="116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4221.23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Nabava i postava = 5.000,00 EUR</w:t>
            </w:r>
          </w:p>
        </w:tc>
        <w:tc>
          <w:tcPr>
            <w:tcW w:w="1629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6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d)</w:t>
            </w:r>
          </w:p>
        </w:tc>
        <w:tc>
          <w:tcPr>
            <w:tcW w:w="4524" w:type="dxa"/>
            <w:gridSpan w:val="2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Oprema za mrtvačnicu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auto"/>
                <w:sz w:val="20"/>
                <w:szCs w:val="20"/>
              </w:rPr>
              <w:t>5.000,00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 xml:space="preserve"> 5.000,00 eura</w:t>
            </w:r>
          </w:p>
        </w:tc>
        <w:tc>
          <w:tcPr>
            <w:tcW w:w="116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4221.93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0"/>
                <w:szCs w:val="20"/>
              </w:rPr>
              <w:t>Nabava i postava = 5.000,00 EUR</w:t>
            </w:r>
          </w:p>
        </w:tc>
        <w:tc>
          <w:tcPr>
            <w:tcW w:w="1629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6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37" w:type="dxa"/>
            <w:tcBorders>
              <w:right w:val="nil"/>
            </w:tcBorders>
            <w:shd w:fill="EEEEEE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e)</w:t>
            </w:r>
          </w:p>
        </w:tc>
        <w:tc>
          <w:tcPr>
            <w:tcW w:w="4524" w:type="dxa"/>
            <w:gridSpan w:val="2"/>
            <w:tcBorders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Izrada betonskih okvira na Mjesnom groblju Mihovljan </w:t>
            </w:r>
          </w:p>
        </w:tc>
        <w:tc>
          <w:tcPr>
            <w:tcW w:w="1629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30.000,00</w:t>
            </w:r>
          </w:p>
        </w:tc>
        <w:tc>
          <w:tcPr>
            <w:tcW w:w="2100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 xml:space="preserve"> 30.000,00 eura</w:t>
            </w:r>
          </w:p>
        </w:tc>
        <w:tc>
          <w:tcPr>
            <w:tcW w:w="116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4214.64</w:t>
            </w:r>
          </w:p>
        </w:tc>
      </w:tr>
      <w:tr>
        <w:trPr/>
        <w:tc>
          <w:tcPr>
            <w:tcW w:w="737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Izvođenje radova = 29.000,00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Nadzor = 1.000,00 EUR</w:t>
            </w:r>
          </w:p>
        </w:tc>
        <w:tc>
          <w:tcPr>
            <w:tcW w:w="1629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116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3.1.</w:t>
            </w:r>
          </w:p>
        </w:tc>
        <w:tc>
          <w:tcPr>
            <w:tcW w:w="9419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rPr>
                <w:b/>
                <w:b/>
                <w:sz w:val="22"/>
              </w:rPr>
            </w:pPr>
            <w:r>
              <w:rPr>
                <w:b/>
                <w:color w:val="auto"/>
                <w:sz w:val="22"/>
                <w:szCs w:val="22"/>
              </w:rPr>
              <w:t>JAVNE ZELENE POVRŠINE</w:t>
            </w:r>
          </w:p>
        </w:tc>
      </w:tr>
      <w:tr>
        <w:trPr>
          <w:trHeight w:val="393" w:hRule="atLeast"/>
        </w:trPr>
        <w:tc>
          <w:tcPr>
            <w:tcW w:w="737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a)</w:t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Dječje igralište u Mihovljanu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 xml:space="preserve"> 20.000,00eura </w:t>
              <w:br/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50-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Pomo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4"/>
                <w:szCs w:val="14"/>
                <w:u w:val="none"/>
                <w:em w:val="none"/>
              </w:rPr>
              <w:t>ći iz državnog proračuna =</w:t>
            </w: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80.000,00 eura</w:t>
            </w:r>
          </w:p>
        </w:tc>
        <w:tc>
          <w:tcPr>
            <w:tcW w:w="116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  <w:sz w:val="20"/>
                <w:szCs w:val="20"/>
              </w:rPr>
              <w:t>4511.26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Nabava i postava = 96.000,00 EUR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bookmarkStart w:id="2" w:name="__DdeLink__612_953819949"/>
            <w:r>
              <w:rPr>
                <w:color w:val="auto"/>
                <w:sz w:val="20"/>
                <w:szCs w:val="20"/>
              </w:rPr>
              <w:t>Nadzor = 4.000,00</w:t>
            </w:r>
            <w:bookmarkEnd w:id="2"/>
          </w:p>
        </w:tc>
        <w:tc>
          <w:tcPr>
            <w:tcW w:w="1629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6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b)</w:t>
            </w:r>
          </w:p>
        </w:tc>
        <w:tc>
          <w:tcPr>
            <w:tcW w:w="4524" w:type="dxa"/>
            <w:gridSpan w:val="2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Zemljište za Dječje igralište u Kuzmincu</w:t>
            </w:r>
          </w:p>
        </w:tc>
        <w:tc>
          <w:tcPr>
            <w:tcW w:w="1629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b w:val="false"/>
                <w:bCs w:val="false"/>
                <w:color w:val="auto"/>
                <w:sz w:val="20"/>
                <w:szCs w:val="20"/>
              </w:rPr>
              <w:t>10.000,00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4"/>
                <w:szCs w:val="14"/>
              </w:rPr>
              <w:t>11-Opći prihodi i primici= 10.000,00 eura</w:t>
            </w:r>
          </w:p>
        </w:tc>
        <w:tc>
          <w:tcPr>
            <w:tcW w:w="116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4111.96</w:t>
            </w:r>
          </w:p>
        </w:tc>
      </w:tr>
      <w:tr>
        <w:trPr>
          <w:trHeight w:val="506" w:hRule="atLeast"/>
        </w:trPr>
        <w:tc>
          <w:tcPr>
            <w:tcW w:w="7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452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Procjena = 600,00 eura</w:t>
              <w:br/>
              <w:t>Kupnja = 9.400,00 eura</w:t>
            </w:r>
          </w:p>
        </w:tc>
        <w:tc>
          <w:tcPr>
            <w:tcW w:w="1629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100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6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3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52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4895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 xml:space="preserve">4.540.000,00 EUR 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/>
      </w:pPr>
      <w:r>
        <w:rPr>
          <w:sz w:val="22"/>
          <w:szCs w:val="22"/>
        </w:rPr>
        <w:tab/>
        <w:t>Sredstva potrebna za realizaciju Programa građenja komunalne infrastrukture osigurat će se iz općih poreznih prihoda, prenesenih sredstava, kapitalne potpora iz LAG-a, kapitalne potpore Hrvatskih voda, prihoda od kapitalnih potpora resornih Ministarstva,  Fondova EU i kreditnog zaduženja.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/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građenja objekata komunalne infrastrukture Općine Mihovljan u 2026. godini primjenjuje se od 01. siječnja 2026. godine, a objaviti će se u Službenom glasniku Krapinsko – zagorske županije.</w:t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 xml:space="preserve">   </w:t>
        <w:tab/>
        <w:tab/>
        <w:t xml:space="preserve">                </w:t>
        <w:tab/>
        <w:tab/>
        <w:tab/>
        <w:tab/>
        <w:tab/>
        <w:t xml:space="preserve">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4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>
    <w:name w:val="ListLabel 71"/>
    <w:qFormat/>
    <w:rPr>
      <w:rFonts w:cs="Segoe UI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eastAsia="Lucida Sans Unicode" w:cs="Times New Roman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Times New Roman"/>
      <w:sz w:val="22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Times New Roman"/>
      <w:sz w:val="22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Times New Roman"/>
      <w:sz w:val="22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Times New Roman"/>
      <w:sz w:val="22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Times New Roman"/>
      <w:sz w:val="22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Times New Roman"/>
      <w:sz w:val="22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Times New Roman"/>
      <w:sz w:val="22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Times New Roman"/>
      <w:sz w:val="22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Times New Roman"/>
      <w:sz w:val="22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Times New Roman"/>
      <w:sz w:val="22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Times New Roman"/>
      <w:sz w:val="22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Times New Roman"/>
      <w:sz w:val="22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Times New Roman"/>
      <w:sz w:val="22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Times New Roman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Times New Roman"/>
      <w:sz w:val="22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Times New Roman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Times New Roman"/>
      <w:sz w:val="22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Times New Roman"/>
      <w:sz w:val="22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Times New Roman"/>
      <w:sz w:val="22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Times New Roman"/>
      <w:sz w:val="22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Times New Roman"/>
      <w:sz w:val="22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Times New Roman"/>
      <w:sz w:val="22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Times New Roman"/>
      <w:sz w:val="22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Application>LibreOffice/6.2.4.2$Windows_X86_64 LibreOffice_project/2412653d852ce75f65fbfa83fb7e7b669a126d64</Application>
  <Pages>3</Pages>
  <Words>1088</Words>
  <Characters>6838</Characters>
  <CharactersWithSpaces>7774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2023-01-07T14:17:00Z</dcterms:created>
  <dc:creator>URED-PC</dc:creator>
  <dc:description/>
  <dc:language>hr-HR</dc:language>
  <cp:lastModifiedBy/>
  <cp:lastPrinted>2025-12-16T08:38:51Z</cp:lastPrinted>
  <dcterms:modified xsi:type="dcterms:W3CDTF">2026-01-23T07:42:30Z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