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995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4"/>
        <w:gridCol w:w="4840"/>
      </w:tblGrid>
      <w:tr>
        <w:trPr>
          <w:trHeight w:val="1611" w:hRule="atLeast"/>
        </w:trPr>
        <w:tc>
          <w:tcPr>
            <w:tcW w:w="41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</w:rPr>
            </w:pPr>
            <w:r>
              <w:rPr/>
              <w:drawing>
                <wp:inline distT="0" distB="0" distL="0" distR="0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</w:tc>
        <w:tc>
          <w:tcPr>
            <w:tcW w:w="48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KLASA: 361-01/23-01/02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URBROJ: 2140-23-1-23-6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Mihovljan, 21. lipnja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66/19, 84/21) i članka 39. Statuta Općine Mihovljan („Službeni glasnik Krapinsko-zagorske županije“ br. 5/13, 11/18, 8/20, 8/21), Općinsko vijeće Općine Mihovljan na svojoj 18. sjednici održanoj dana 21. lipnja 2023.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GRAĐENJA OBJEKATA KOMUNALNE INFRASTRUKTURE UZ II. IZMJENE I DOPUNE PRORAČUNA U 2023. GODINI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Ovim Programom određuje se građenje komunalne infrastrukture na području Općine Mihovljan za 2023. godinu, a istim se određuju: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graditi radi uređenja neuređenih dijelova građevinskog područja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komunalne infrastrukture koje će se graditi u uređenim dijelovima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koje će se graditi izvan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postojeće građevine komunalne infrastrukture koje će se rekonstruirati i način rekonstrukcije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uklanjati</w:t>
      </w:r>
    </w:p>
    <w:p>
      <w:pPr>
        <w:pStyle w:val="Normal"/>
        <w:suppressAutoHyphens w:val="false"/>
        <w:spacing w:lineRule="auto" w:line="276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Program se odnosi na građenje objekata i uređaja komunalne infrastrukture i to na: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nerazvrstane ceste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javne površine (javne prometne površine na kojima nije dopušten promet motornih vozila, javna parkirališta, javne garaže, javne zelene površine)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građevine i uređaje javne namjene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javnu rasvjetu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groblja i krematorije na grobljima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građevine namijenjene obavljanju javnog prijevoza </w:t>
      </w:r>
    </w:p>
    <w:p>
      <w:pPr>
        <w:pStyle w:val="Normal"/>
        <w:widowControl w:val="false"/>
        <w:spacing w:lineRule="auto" w:line="276"/>
        <w:ind w:left="106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pacing w:lineRule="auto" w:line="276"/>
        <w:ind w:left="106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Program građenja komunalne infrastrukture sadrži procjenu troškova nastalih za rješavanje imovinskopravnih odnosa, projektiranja, građenja, provedbe stručnog nadzora građenja i provedbe vođenja projekata građenja komunalne infrastrukture s naznakom izvora njihova financiranja.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Članak 3.</w:t>
      </w:r>
    </w:p>
    <w:p>
      <w:pPr>
        <w:pStyle w:val="NoSpacing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Ovim Programom nisu predviđene građevine komunalne infrastrukture koje će se graditi izvan građevinskog područja, niti ima građevina predviđenih za uklanjanje. Također nije predviđeno građenje građevina za gospodarenje komunalnim otpadom.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koje će se graditi radi uređenja neuređenih dijelova građevinskog područja, građevine koje će se graditi u uređenim dijelovima građevinskog područja  i građevine koje će se rekonstruirati daju se u nastavku: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1035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"/>
        <w:gridCol w:w="27"/>
        <w:gridCol w:w="2845"/>
        <w:gridCol w:w="1"/>
        <w:gridCol w:w="1293"/>
        <w:gridCol w:w="1"/>
        <w:gridCol w:w="1276"/>
        <w:gridCol w:w="1"/>
        <w:gridCol w:w="1298"/>
        <w:gridCol w:w="1"/>
        <w:gridCol w:w="5"/>
        <w:gridCol w:w="2048"/>
        <w:gridCol w:w="1"/>
        <w:gridCol w:w="915"/>
        <w:gridCol w:w="1"/>
        <w:gridCol w:w="9"/>
        <w:gridCol w:w="2"/>
        <w:gridCol w:w="6"/>
      </w:tblGrid>
      <w:tr>
        <w:trPr>
          <w:trHeight w:val="397" w:hRule="atLeast"/>
        </w:trPr>
        <w:tc>
          <w:tcPr>
            <w:tcW w:w="10344" w:type="dxa"/>
            <w:gridSpan w:val="1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 Građevine komunalne infrastrukture koje će se graditi u uređenim dijelova građevinskog područja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r.br.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294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Izvorni plan</w:t>
              <w:br/>
              <w:t xml:space="preserve"> (EUR)</w:t>
            </w:r>
          </w:p>
        </w:tc>
        <w:tc>
          <w:tcPr>
            <w:tcW w:w="1277" w:type="dxa"/>
            <w:gridSpan w:val="2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I.izmjene i dopune (EUR)</w:t>
            </w:r>
          </w:p>
        </w:tc>
        <w:tc>
          <w:tcPr>
            <w:tcW w:w="1299" w:type="dxa"/>
            <w:gridSpan w:val="2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II.izmjene i dopune (EUR)</w:t>
            </w:r>
          </w:p>
        </w:tc>
        <w:tc>
          <w:tcPr>
            <w:tcW w:w="2054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Izvori financiranja</w:t>
            </w:r>
          </w:p>
        </w:tc>
        <w:tc>
          <w:tcPr>
            <w:tcW w:w="916" w:type="dxa"/>
            <w:gridSpan w:val="2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Pozicija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9724" w:type="dxa"/>
            <w:gridSpan w:val="16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JAVNA RASVJETA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69" w:hRule="atLeast"/>
        </w:trPr>
        <w:tc>
          <w:tcPr>
            <w:tcW w:w="620" w:type="dxa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73" w:type="dxa"/>
            <w:gridSpan w:val="3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Javna rasvjeta</w:t>
            </w:r>
          </w:p>
        </w:tc>
        <w:tc>
          <w:tcPr>
            <w:tcW w:w="129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19.908,42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19.908,42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19.908,42</w:t>
            </w:r>
          </w:p>
        </w:tc>
        <w:tc>
          <w:tcPr>
            <w:tcW w:w="2054" w:type="dxa"/>
            <w:gridSpan w:val="3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MPGI =6.636,14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Općine=13.272,28EUR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I. izmjene i dopune: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  <w:t>(11)Proračun Općine</w:t>
              <w:br/>
              <w:t>= 19.908,42EUR</w:t>
            </w:r>
          </w:p>
        </w:tc>
        <w:tc>
          <w:tcPr>
            <w:tcW w:w="916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4214.71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Nabava lampi = 14.908,42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Postava lampi = 5.000,00 EUR </w:t>
            </w:r>
          </w:p>
        </w:tc>
        <w:tc>
          <w:tcPr>
            <w:tcW w:w="129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9724" w:type="dxa"/>
            <w:gridSpan w:val="1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NERAZVRSTANE CESTE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5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Održavanje postojećih nerazvrstanih cesta na pod. Mihovljana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99.542,11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99.542,11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99.542,11</w:t>
            </w:r>
          </w:p>
        </w:tc>
        <w:tc>
          <w:tcPr>
            <w:tcW w:w="205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MRFFEU=46.452,98 EUR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MPGI=33.180,70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Općine=19.908,43EUR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MRFFEU=53.000,00EUR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(9) Proračun Općine/preneseni višak =46.542,11EUR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4213.10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94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Troškovnik = 700,00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Izvođenje radova = 95.842,11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Nadzor = 3.000,00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6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Rekonstrukcija nerazvrstane ceste M-Mihovljan-Kovačići-Večkovići(ishođena građevinska dozvola)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1.327.228,08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>1.327.228,08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1.327.228,08</w:t>
            </w:r>
          </w:p>
        </w:tc>
        <w:tc>
          <w:tcPr>
            <w:tcW w:w="205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(54) EU primici</w:t>
              <w:br/>
              <w:t>=500.000,00 EUR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(81) Kredit=800.000,00 EUR 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(11) Proračun Općine=27.228,08EUR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(54) EUprimici=500.000,00 EUR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(81) Kredit=800.000,00EUR</w:t>
            </w:r>
          </w:p>
          <w:p>
            <w:pPr>
              <w:pStyle w:val="Default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>(11) Proračun Općine=27.228,08EUR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4213.11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Izvođenje radova = 1.261.228,08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Konzultantske usluge = 33.000,00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Nadzor = 33.000,00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6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Autobusna stajališta uz ŽC2125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3.981,68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 3.981,68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 0,00EUR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4213.14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3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Nabava i postava =0,00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5" w:hRule="atLeast"/>
        </w:trPr>
        <w:tc>
          <w:tcPr>
            <w:tcW w:w="620" w:type="dxa"/>
            <w:tcBorders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d)</w:t>
            </w:r>
          </w:p>
        </w:tc>
        <w:tc>
          <w:tcPr>
            <w:tcW w:w="2873" w:type="dxa"/>
            <w:gridSpan w:val="3"/>
            <w:tcBorders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Sanacija klizišta Kuzminec u općini Mihovljan/Sanacija klizišta uzrokovanih potresima na području općine Mihovljan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99.542,10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776.000,00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1.180.000,00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MGOR=96.483,17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=3.058,93 EUR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(54) EU primici =776.000,00 EUR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(81) Kredit (za premošćivanje) =450.000,00EUR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II. izmjene i dopune:</w:t>
            </w:r>
          </w:p>
          <w:p>
            <w:pPr>
              <w:pStyle w:val="Default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(54) EU primici = 1.180.000,00EUR</w:t>
            </w:r>
          </w:p>
          <w:p>
            <w:pPr>
              <w:pStyle w:val="Default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(81) Kredit (za premošćivanje)= 1.000.000,00 EUR</w:t>
            </w:r>
          </w:p>
        </w:tc>
        <w:tc>
          <w:tcPr>
            <w:tcW w:w="916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4214.91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620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M11 Torti-Posavci = 1.320,00m, k.č.br. </w:t>
            </w:r>
            <w:r>
              <w:rPr>
                <w:color w:val="000000"/>
                <w:sz w:val="16"/>
                <w:szCs w:val="16"/>
              </w:rPr>
              <w:t xml:space="preserve">1503, 3543, </w:t>
            </w:r>
            <w:r>
              <w:rPr>
                <w:sz w:val="16"/>
                <w:szCs w:val="16"/>
              </w:rPr>
              <w:t xml:space="preserve">3539, 3544 </w:t>
            </w:r>
            <w:r>
              <w:rPr>
                <w:color w:val="000000"/>
                <w:sz w:val="16"/>
                <w:szCs w:val="16"/>
              </w:rPr>
              <w:t xml:space="preserve"> k.o. Mihovljan</w:t>
            </w:r>
            <w:r>
              <w:rPr>
                <w:sz w:val="16"/>
                <w:szCs w:val="16"/>
              </w:rPr>
              <w:t xml:space="preserve">  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M25 Kovačići – Klanečnica = 1.932,00m, k.č.br. </w:t>
            </w:r>
            <w:r>
              <w:rPr>
                <w:color w:val="000000"/>
                <w:sz w:val="16"/>
                <w:szCs w:val="16"/>
              </w:rPr>
              <w:t xml:space="preserve">3496, </w:t>
            </w:r>
            <w:r>
              <w:rPr>
                <w:sz w:val="16"/>
                <w:szCs w:val="16"/>
              </w:rPr>
              <w:t>3500, 3501</w:t>
            </w:r>
            <w:r>
              <w:rPr>
                <w:color w:val="000000"/>
                <w:sz w:val="16"/>
                <w:szCs w:val="16"/>
              </w:rPr>
              <w:t xml:space="preserve">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M38 Rafaji-Gredlji-Putari =400,00m, k.č.br. </w:t>
            </w:r>
            <w:r>
              <w:rPr>
                <w:color w:val="000000"/>
                <w:sz w:val="16"/>
                <w:szCs w:val="16"/>
              </w:rPr>
              <w:t>1171/17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M41 Galici most – Haramini = 450,00m, k.č.br. </w:t>
            </w:r>
            <w:r>
              <w:rPr>
                <w:color w:val="000000"/>
                <w:sz w:val="16"/>
                <w:szCs w:val="16"/>
              </w:rPr>
              <w:t>3485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M12 Pušlji =254,00m, k.č.br. 3539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M7 Blaškovići – Poljaki = 430,00m, k.č.br. 3548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M8 Poljaki =85,00m, k.č.br. 3547 k.o. Mihovljan</w:t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G2 Vuđan grad- Trstenjaki =780,00m, k.č.br. </w:t>
            </w:r>
            <w:r>
              <w:rPr>
                <w:color w:val="000000"/>
                <w:sz w:val="16"/>
                <w:szCs w:val="16"/>
              </w:rPr>
              <w:t>4638 k.o. Veternica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K1 Petrišćica = 136,00m, k.č.br. 4504/4 k.o. Veternica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G12 Sinkovići = 1.216,00m, k.č.br. 4614/1, 4615, 4619 k.o. Veternica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G14 Škudari – Vučkovići – Žalice =1.215,00m, k.č.br. 4614/1, 3455 k.o. Mihovljan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Projektna dokumentacija: 26.000,00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Izvođenje radova: 1.079.000,00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Nadzor: 35.000,00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Geodetske usluge: 10.000,00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Poslovno savjetovanje – provedba projekta i administracija: 30.000,00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620" w:type="dxa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4" w:type="dxa"/>
            <w:gridSpan w:val="2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6" w:type="dxa"/>
            <w:gridSpan w:val="2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9724" w:type="dxa"/>
            <w:gridSpan w:val="1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JAVNE POVRŠINE KOJIMA NIJE DOPUŠTEN PROMET MOTORNIM VOZILIMA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Nogostup i oborinska odvodnja uz županijsku cestu ŽC2125 (ishođena građevinska dozvola)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92.905,96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92.905,97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110.000,00</w:t>
            </w:r>
          </w:p>
        </w:tc>
        <w:tc>
          <w:tcPr>
            <w:tcW w:w="205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  <w:br/>
              <w:t>= 26.544,56 EUR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MPGI =53.089,12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(51) ŽUC =13.272,28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(52) MPGI=50.000,00EUR 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(51) ŽUC=31.272,28 EUR  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(9) Proračun Općine/preneseni višak =28.717,72 EUR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4213.12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6" w:hRule="atLeast"/>
        </w:trPr>
        <w:tc>
          <w:tcPr>
            <w:tcW w:w="620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Izvođenje radova = 106.800,00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Nadzor = 3.200,00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9724" w:type="dxa"/>
            <w:gridSpan w:val="1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GRAĐEVINE I UREĐAJI JAVNE NAMJENE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Zgrada općine (vrata)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2.654,45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2.654,46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2.654,46</w:t>
            </w:r>
          </w:p>
        </w:tc>
        <w:tc>
          <w:tcPr>
            <w:tcW w:w="205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=2.654,45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=2.654,45 EUR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4214.96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Nabava i postava =2.654,45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EEEEEE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Dječji vrtić Miholjček (zgrada)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20.300,00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20.300,00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20.300,00</w:t>
            </w:r>
          </w:p>
        </w:tc>
        <w:tc>
          <w:tcPr>
            <w:tcW w:w="205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 =20.300,00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Općine=20.300,00 EUR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4212.31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Nabava i postava =20.300,00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c)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Obnova  Društvenog doma Mihovljan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39.816,84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39.816,84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39.816,84</w:t>
            </w:r>
          </w:p>
        </w:tc>
        <w:tc>
          <w:tcPr>
            <w:tcW w:w="2054" w:type="dxa"/>
            <w:gridSpan w:val="3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  <w:br/>
              <w:t>= 6.636,14EUR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Min.kulture i medija</w:t>
              <w:br/>
              <w:t xml:space="preserve"> = 33.180,70 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(9) Proračun Općine/preneseni višak = 12.816,84 EUR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Min.kulture i medija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= </w:t>
            </w:r>
            <w:r>
              <w:rPr>
                <w:bCs/>
                <w:sz w:val="16"/>
                <w:szCs w:val="16"/>
                <w:lang w:eastAsia="en-US"/>
              </w:rPr>
              <w:t>27.000,00</w:t>
            </w:r>
            <w:r>
              <w:rPr>
                <w:sz w:val="16"/>
                <w:szCs w:val="16"/>
              </w:rPr>
              <w:t>EUR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4214.92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Troškovnik = 100,00 EUR</w:t>
            </w:r>
          </w:p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Izvođenje radova = 38.516,84 EUR</w:t>
            </w:r>
          </w:p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Nadzor = 1.200,00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d)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Zemljište- centar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13.272,28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16.000,00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16.000,00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 Proračun općine</w:t>
              <w:br/>
              <w:t>=13.272,28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=6.191,78 EUR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(9) Proračun općine/preneseni višak  =8.808,22 EUR</w:t>
            </w:r>
          </w:p>
        </w:tc>
        <w:tc>
          <w:tcPr>
            <w:tcW w:w="916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4111.91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Zemljište=16.000,00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e)</w:t>
            </w:r>
          </w:p>
        </w:tc>
        <w:tc>
          <w:tcPr>
            <w:tcW w:w="2873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Projekti-izrada projekata i geodezija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9.290,60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9.290,60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9.290,60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=9.290,60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(11) Proračun općine</w:t>
              <w:br/>
              <w:t>=9.290,60 EUR</w:t>
            </w:r>
          </w:p>
        </w:tc>
        <w:tc>
          <w:tcPr>
            <w:tcW w:w="916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4126.10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Projekt = 9.290,60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f)</w:t>
            </w:r>
          </w:p>
        </w:tc>
        <w:tc>
          <w:tcPr>
            <w:tcW w:w="2873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Idejno rješenje- Multifunkcionalni kulturni i prezentacijski centar u Mihovljanu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5.308,91 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5.308,91 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5.308,91 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=5.308,91 EUR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  <w:r>
              <w:rPr>
                <w:bCs/>
                <w:sz w:val="16"/>
                <w:szCs w:val="16"/>
              </w:rPr>
              <w:br/>
              <w:t>(9) Proračun općine/preneseni višak =5.308,91 EUR</w:t>
            </w:r>
          </w:p>
        </w:tc>
        <w:tc>
          <w:tcPr>
            <w:tcW w:w="916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4126.11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Idejno rješenje = 5.308,91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g)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Glavni projekt i troškovnik za Multifunkcionalni kulturni i prezentacijski centar u Mihovljanu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25.880,95 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25.880,95 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25.880,95 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(11)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=25.880,95 EUR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  <w:u w:val="single"/>
              </w:rPr>
              <w:t>I. izmjene i dopune:</w:t>
            </w:r>
            <w:r>
              <w:rPr>
                <w:bCs/>
                <w:sz w:val="18"/>
                <w:szCs w:val="18"/>
              </w:rPr>
              <w:br/>
              <w:t>(9) Proračun općine/preneseni višak =25.880,95 EUR</w:t>
            </w:r>
          </w:p>
        </w:tc>
        <w:tc>
          <w:tcPr>
            <w:tcW w:w="916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4126.12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Projekt=25.880,95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h)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Projekt za parking za Multifunkcionalni kulturni i prezentacijski centar u Mihovljanu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9.290,60 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9.290,60 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9.290,60 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single"/>
              </w:rPr>
              <w:t>Izvorni plan: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(11) Proračun općine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bCs/>
                <w:sz w:val="18"/>
                <w:szCs w:val="18"/>
              </w:rPr>
              <w:t>=9.290,60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  <w:u w:val="single"/>
              </w:rPr>
              <w:t>I. izmjene i dopune: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(9) Proračun općine/preneseni višak =9.290,60 EUR</w:t>
            </w:r>
          </w:p>
        </w:tc>
        <w:tc>
          <w:tcPr>
            <w:tcW w:w="916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4126.13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Projekt =9.290,60 EUR 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i)</w:t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Geodezija za Multifunkcionalni kulturni i prezentacijski centar u Mihovljanu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5.972,53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5.972,53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5.972,53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(11) Proračun općine</w:t>
              <w:br/>
              <w:t>=5.972,53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  <w:u w:val="single"/>
              </w:rPr>
              <w:t>I. izmjene i dopune: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 xml:space="preserve">(9) Proračun općine/preneseni višak 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=5.972,53 EUR</w:t>
            </w:r>
          </w:p>
        </w:tc>
        <w:tc>
          <w:tcPr>
            <w:tcW w:w="916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4126.14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Geodezija = 5.972,53 EUR 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j)</w:t>
            </w:r>
          </w:p>
        </w:tc>
        <w:tc>
          <w:tcPr>
            <w:tcW w:w="2873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Projekt-širokopojasni internet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2.654,46 </w:t>
            </w:r>
          </w:p>
        </w:tc>
        <w:tc>
          <w:tcPr>
            <w:tcW w:w="1277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2.654,46 </w:t>
            </w:r>
          </w:p>
        </w:tc>
        <w:tc>
          <w:tcPr>
            <w:tcW w:w="1299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2.654,46 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=2.654,46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=2.654,46 EUR</w:t>
            </w:r>
          </w:p>
        </w:tc>
        <w:tc>
          <w:tcPr>
            <w:tcW w:w="916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4126.17</w:t>
            </w:r>
          </w:p>
        </w:tc>
        <w:tc>
          <w:tcPr>
            <w:tcW w:w="17" w:type="dxa"/>
            <w:gridSpan w:val="3"/>
            <w:tcBorders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Projekt =2.654,46 EUR 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l)</w:t>
            </w:r>
          </w:p>
        </w:tc>
        <w:tc>
          <w:tcPr>
            <w:tcW w:w="2873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Izdaci za geodetske usluge (izmjere i elaborati za ceste)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3.000,00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3.000,00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0,00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=3.000,00 EUR</w:t>
            </w:r>
          </w:p>
        </w:tc>
        <w:tc>
          <w:tcPr>
            <w:tcW w:w="916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4126.18</w:t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73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Usluge i elaborati 3.000,00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2.1.</w:t>
            </w:r>
          </w:p>
        </w:tc>
        <w:tc>
          <w:tcPr>
            <w:tcW w:w="9695" w:type="dxa"/>
            <w:gridSpan w:val="1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GROBLJA</w:t>
            </w:r>
          </w:p>
        </w:tc>
        <w:tc>
          <w:tcPr>
            <w:tcW w:w="8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Mrtvačnica Mihovljan – uređenje prilaza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6.636,14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6.636,14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6.636,14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 xml:space="preserve">= 6.636,14 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 xml:space="preserve">=6.636,14 EUR 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4214.94</w:t>
            </w:r>
          </w:p>
        </w:tc>
        <w:tc>
          <w:tcPr>
            <w:tcW w:w="18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Izvođenje radova = 6.436,14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Stručni nadzor = 200,00 EUR 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45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Kapelica na Mjesnom groblju Mihovljan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19.908,42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19.908,42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19.908,42</w:t>
            </w:r>
          </w:p>
        </w:tc>
        <w:tc>
          <w:tcPr>
            <w:tcW w:w="205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 Min.kulture i medija</w:t>
              <w:br/>
              <w:t>=13.272,28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 xml:space="preserve">= 6.636,14EUR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Min.kulture i medija19.908,42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4214.98</w:t>
            </w:r>
          </w:p>
        </w:tc>
        <w:tc>
          <w:tcPr>
            <w:tcW w:w="18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Troškovnik = 500,00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Izvođenje radova  = 18.828,42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Nadzor =580,00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845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Oprema za mrtvačnicu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3.981,68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3.981,68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3.981,68</w:t>
            </w:r>
          </w:p>
        </w:tc>
        <w:tc>
          <w:tcPr>
            <w:tcW w:w="205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 3.981,68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 3.981,68 EUR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4221.93</w:t>
            </w:r>
          </w:p>
        </w:tc>
        <w:tc>
          <w:tcPr>
            <w:tcW w:w="18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Nabava i postava  = 3.981,68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6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3.1.</w:t>
            </w:r>
          </w:p>
        </w:tc>
        <w:tc>
          <w:tcPr>
            <w:tcW w:w="9695" w:type="dxa"/>
            <w:gridSpan w:val="14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JAVNE ZELENE POVRŠINE</w:t>
            </w:r>
          </w:p>
        </w:tc>
        <w:tc>
          <w:tcPr>
            <w:tcW w:w="8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Izgradnja Parka hrvatskih branitelja u Mihovljanu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39.816,84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39.816,84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39.816,84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(51) LAG=32.917,22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  <w:br/>
              <w:t xml:space="preserve">= 6.899,62EUR 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(51) LAG=32.917,22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 Proračun općine </w:t>
              <w:br/>
              <w:t xml:space="preserve">=6.899,62EUR 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34" w:type="dxa"/>
            <w:gridSpan w:val="6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4214.62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Projekt = 4.250,00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Izvođenje radova = 34.571,42 EUR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Nadzor = 995,42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34" w:type="dxa"/>
            <w:gridSpan w:val="6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08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45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Nogometno igralište u Mihovljanu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26.544,56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205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(52) MINTS=13.272,28 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=13.272,28EUR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(52) MINTS =23.494,42 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=6.505,58EUR</w:t>
            </w:r>
          </w:p>
        </w:tc>
        <w:tc>
          <w:tcPr>
            <w:tcW w:w="934" w:type="dxa"/>
            <w:gridSpan w:val="6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4214.97</w:t>
            </w:r>
          </w:p>
        </w:tc>
      </w:tr>
      <w:tr>
        <w:trPr>
          <w:trHeight w:val="779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Troškovnik = 100,00 EUR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Izvođenje radova = 28.500,00 EUR 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Nadzor = 1.400,00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34" w:type="dxa"/>
            <w:gridSpan w:val="6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3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845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Dječje igralište sa igralima i spravama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5.308,91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5.308,91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5.308,91</w:t>
            </w:r>
          </w:p>
        </w:tc>
        <w:tc>
          <w:tcPr>
            <w:tcW w:w="205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(52) MRMS =3.981,70 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=1.327,21EUR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MRMS =5.308,91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934" w:type="dxa"/>
            <w:gridSpan w:val="6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4214.99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Nabava i postava = 5.308,91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34" w:type="dxa"/>
            <w:gridSpan w:val="6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d)</w:t>
            </w:r>
          </w:p>
        </w:tc>
        <w:tc>
          <w:tcPr>
            <w:tcW w:w="28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Zemljište-za Dječje igralište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2.654,46 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2.654,46 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2.654,46 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=2.654,46 EUR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=2.654,46 EUR</w:t>
            </w:r>
          </w:p>
        </w:tc>
        <w:tc>
          <w:tcPr>
            <w:tcW w:w="934" w:type="dxa"/>
            <w:gridSpan w:val="6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4111.93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4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Zemljište 2.654,46 EUR 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4" w:type="dxa"/>
            <w:gridSpan w:val="6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e)</w:t>
            </w:r>
          </w:p>
        </w:tc>
        <w:tc>
          <w:tcPr>
            <w:tcW w:w="28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Centar:klupe,koševi i dr.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29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205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 Izvorni plan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(0,00)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=1.300,00  EUR</w:t>
            </w:r>
          </w:p>
        </w:tc>
        <w:tc>
          <w:tcPr>
            <w:tcW w:w="934" w:type="dxa"/>
            <w:gridSpan w:val="6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4221.94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4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i postava = 1.300,00 EURA 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34" w:type="dxa"/>
            <w:gridSpan w:val="6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47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4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SVEUKUPNO: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2"/>
              </w:rPr>
            </w:pPr>
            <w:r>
              <w:rPr>
                <w:b/>
                <w:sz w:val="18"/>
                <w:szCs w:val="18"/>
              </w:rPr>
              <w:t xml:space="preserve">EUR </w:t>
            </w:r>
          </w:p>
        </w:tc>
        <w:tc>
          <w:tcPr>
            <w:tcW w:w="1294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27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1.902.700,98 </w:t>
            </w:r>
          </w:p>
        </w:tc>
        <w:tc>
          <w:tcPr>
            <w:tcW w:w="1277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2.565.360,38</w:t>
            </w:r>
          </w:p>
        </w:tc>
        <w:tc>
          <w:tcPr>
            <w:tcW w:w="1305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2.986.454,41</w:t>
            </w:r>
          </w:p>
        </w:tc>
        <w:tc>
          <w:tcPr>
            <w:tcW w:w="2965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>
      <w:pPr>
        <w:pStyle w:val="Normal"/>
        <w:spacing w:lineRule="auto" w:line="276" w:before="0"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  <w:t>Sredstva potrebna za realizaciju Programa građenja komunalne infrastrukture osigurat će se iz općih poreznih prihoda, kapitalne potpora iz LAG-a, kapitalne potpore iz ŽUC-a KZŽ, prihoda od kapitalnih potpora resornih Ministarstva, Fondova EU i kreditnog zaduženja sukladno Tabeli u nastavku.</w:t>
      </w:r>
    </w:p>
    <w:tbl>
      <w:tblPr>
        <w:tblW w:w="10207" w:type="dxa"/>
        <w:jc w:val="lef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410"/>
        <w:gridCol w:w="1931"/>
        <w:gridCol w:w="1931"/>
        <w:gridCol w:w="1934"/>
      </w:tblGrid>
      <w:tr>
        <w:trPr/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 SREDSTAVA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IZVORNI PLAN –  EUR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I.IZMJENE I DOPUNE - EUR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II.IZMJENE I DOPUNE -EUR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Proračun Općine Mihovljan –prihod od poreza  i prireza na dohodak, preneseni višak  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256.962,41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260.477,45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color w:val="C9211E"/>
              </w:rPr>
            </w:pPr>
            <w:r>
              <w:rPr>
                <w:color w:val="auto"/>
                <w:sz w:val="21"/>
                <w:szCs w:val="21"/>
              </w:rPr>
              <w:t>260.477,45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Prihod od kapitalnih potpora resornih Ministarstava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299.549,07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178.711,75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color w:val="C9211E"/>
              </w:rPr>
            </w:pPr>
            <w:r>
              <w:rPr>
                <w:color w:val="auto"/>
                <w:sz w:val="21"/>
                <w:szCs w:val="21"/>
              </w:rPr>
              <w:t>178.711,75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ŽUC-Krapinsko zagorska županija 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13.272,28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13.272,28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31.272,28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LAG Zeleni bregi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32.917,22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32.917,22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color w:val="C9211E"/>
              </w:rPr>
            </w:pPr>
            <w:r>
              <w:rPr>
                <w:color w:val="auto"/>
                <w:sz w:val="21"/>
                <w:szCs w:val="21"/>
              </w:rPr>
              <w:t>32.917,22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EU sredstva 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500.000,00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1.276.000,00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color w:val="C9211E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1.680.000,00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Kreditno zaduženje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800.000,00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800.000,00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color w:val="C9211E"/>
                <w:sz w:val="22"/>
              </w:rPr>
            </w:pPr>
            <w:r>
              <w:rPr>
                <w:color w:val="auto"/>
                <w:sz w:val="22"/>
              </w:rPr>
              <w:t>1.300.000,00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1.902.700,98 EUR 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2.565.360,38 </w:t>
            </w:r>
            <w:r>
              <w:rPr>
                <w:b/>
                <w:bCs/>
                <w:sz w:val="22"/>
              </w:rPr>
              <w:t>EUR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>2.986.454,41 EUR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9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>Svi radovi na objektima i uređajima komunalne infrastrukture izvoditi će se prema prioritetima koje utvrdi Općinski načelnik.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>
      <w:pPr>
        <w:pStyle w:val="Normal"/>
        <w:ind w:firstLine="709"/>
        <w:rPr>
          <w:sz w:val="12"/>
          <w:szCs w:val="12"/>
        </w:rPr>
      </w:pPr>
      <w:r>
        <w:rPr>
          <w:sz w:val="22"/>
          <w:szCs w:val="22"/>
        </w:rPr>
        <w:t xml:space="preserve">Ovaj Program će se objaviti u Službenom glasniku Krapinsko-zagorske županije,  a njegovim donošenjem prestaje važiti Program održavanja komunalne infrastrukture objavljen u Službenom glasniku Krapinsko-zagorske županije broj 19/23. </w:t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 xml:space="preserve">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mr. Silvestar Vučković dr.vet.med.</w:t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077" w:right="707" w:header="0" w:top="0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e6909"/>
    <w:rPr>
      <w:rFonts w:ascii="Tahoma" w:hAnsi="Tahoma" w:eastAsia="Times New Roman" w:cs="Tahoma"/>
      <w:sz w:val="16"/>
      <w:szCs w:val="16"/>
      <w:lang w:eastAsia="hr-HR"/>
    </w:rPr>
  </w:style>
  <w:style w:type="character" w:styleId="Internetskapoveznica" w:customStyle="1">
    <w:name w:val="Internetska poveznica"/>
    <w:rsid w:val="004468fd"/>
    <w:rPr>
      <w:color w:val="000080"/>
      <w:u w:val="single"/>
    </w:rPr>
  </w:style>
  <w:style w:type="character" w:styleId="ListLabel1" w:customStyle="1">
    <w:name w:val="ListLabel 1"/>
    <w:qFormat/>
    <w:rsid w:val="004468fd"/>
    <w:rPr>
      <w:rFonts w:ascii="Arial Narrow" w:hAnsi="Arial Narrow" w:cs="Segoe UI"/>
      <w:sz w:val="22"/>
    </w:rPr>
  </w:style>
  <w:style w:type="character" w:styleId="ListLabel2" w:customStyle="1">
    <w:name w:val="ListLabel 2"/>
    <w:qFormat/>
    <w:rsid w:val="004468fd"/>
    <w:rPr>
      <w:rFonts w:cs="Courier New"/>
    </w:rPr>
  </w:style>
  <w:style w:type="character" w:styleId="ListLabel3" w:customStyle="1">
    <w:name w:val="ListLabel 3"/>
    <w:qFormat/>
    <w:rsid w:val="004468fd"/>
    <w:rPr>
      <w:rFonts w:cs="Wingdings"/>
    </w:rPr>
  </w:style>
  <w:style w:type="character" w:styleId="ListLabel4" w:customStyle="1">
    <w:name w:val="ListLabel 4"/>
    <w:qFormat/>
    <w:rsid w:val="004468fd"/>
    <w:rPr>
      <w:rFonts w:cs="Symbol"/>
    </w:rPr>
  </w:style>
  <w:style w:type="character" w:styleId="ListLabel5" w:customStyle="1">
    <w:name w:val="ListLabel 5"/>
    <w:qFormat/>
    <w:rsid w:val="004468fd"/>
    <w:rPr>
      <w:rFonts w:cs="Courier New"/>
    </w:rPr>
  </w:style>
  <w:style w:type="character" w:styleId="ListLabel6" w:customStyle="1">
    <w:name w:val="ListLabel 6"/>
    <w:qFormat/>
    <w:rsid w:val="004468fd"/>
    <w:rPr>
      <w:rFonts w:cs="Wingdings"/>
    </w:rPr>
  </w:style>
  <w:style w:type="character" w:styleId="ListLabel7" w:customStyle="1">
    <w:name w:val="ListLabel 7"/>
    <w:qFormat/>
    <w:rsid w:val="004468fd"/>
    <w:rPr>
      <w:rFonts w:cs="Symbol"/>
    </w:rPr>
  </w:style>
  <w:style w:type="character" w:styleId="ListLabel8" w:customStyle="1">
    <w:name w:val="ListLabel 8"/>
    <w:qFormat/>
    <w:rsid w:val="004468fd"/>
    <w:rPr>
      <w:rFonts w:cs="Courier New"/>
    </w:rPr>
  </w:style>
  <w:style w:type="character" w:styleId="ListLabel9" w:customStyle="1">
    <w:name w:val="ListLabel 9"/>
    <w:qFormat/>
    <w:rsid w:val="004468fd"/>
    <w:rPr>
      <w:rFonts w:cs="Wingdings"/>
    </w:rPr>
  </w:style>
  <w:style w:type="character" w:styleId="ListLabel10" w:customStyle="1">
    <w:name w:val="ListLabel 1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11" w:customStyle="1">
    <w:name w:val="ListLabel 11"/>
    <w:qFormat/>
    <w:rsid w:val="004468fd"/>
    <w:rPr>
      <w:rFonts w:ascii="Arial Narrow" w:hAnsi="Arial Narrow" w:cs="Segoe UI"/>
      <w:sz w:val="22"/>
    </w:rPr>
  </w:style>
  <w:style w:type="character" w:styleId="ListLabel12" w:customStyle="1">
    <w:name w:val="ListLabel 12"/>
    <w:qFormat/>
    <w:rsid w:val="004468fd"/>
    <w:rPr>
      <w:rFonts w:cs="Courier New"/>
    </w:rPr>
  </w:style>
  <w:style w:type="character" w:styleId="ListLabel13" w:customStyle="1">
    <w:name w:val="ListLabel 13"/>
    <w:qFormat/>
    <w:rsid w:val="004468fd"/>
    <w:rPr>
      <w:rFonts w:cs="Wingdings"/>
    </w:rPr>
  </w:style>
  <w:style w:type="character" w:styleId="ListLabel14" w:customStyle="1">
    <w:name w:val="ListLabel 14"/>
    <w:qFormat/>
    <w:rsid w:val="004468fd"/>
    <w:rPr>
      <w:rFonts w:cs="Symbol"/>
    </w:rPr>
  </w:style>
  <w:style w:type="character" w:styleId="ListLabel15" w:customStyle="1">
    <w:name w:val="ListLabel 15"/>
    <w:qFormat/>
    <w:rsid w:val="004468fd"/>
    <w:rPr>
      <w:rFonts w:cs="Courier New"/>
    </w:rPr>
  </w:style>
  <w:style w:type="character" w:styleId="ListLabel16" w:customStyle="1">
    <w:name w:val="ListLabel 16"/>
    <w:qFormat/>
    <w:rsid w:val="004468fd"/>
    <w:rPr>
      <w:rFonts w:cs="Wingdings"/>
    </w:rPr>
  </w:style>
  <w:style w:type="character" w:styleId="ListLabel17" w:customStyle="1">
    <w:name w:val="ListLabel 17"/>
    <w:qFormat/>
    <w:rsid w:val="004468fd"/>
    <w:rPr>
      <w:rFonts w:cs="Symbol"/>
    </w:rPr>
  </w:style>
  <w:style w:type="character" w:styleId="ListLabel18" w:customStyle="1">
    <w:name w:val="ListLabel 18"/>
    <w:qFormat/>
    <w:rsid w:val="004468fd"/>
    <w:rPr>
      <w:rFonts w:cs="Courier New"/>
    </w:rPr>
  </w:style>
  <w:style w:type="character" w:styleId="ListLabel19" w:customStyle="1">
    <w:name w:val="ListLabel 19"/>
    <w:qFormat/>
    <w:rsid w:val="004468fd"/>
    <w:rPr>
      <w:rFonts w:cs="Wingdings"/>
    </w:rPr>
  </w:style>
  <w:style w:type="character" w:styleId="ListLabel20" w:customStyle="1">
    <w:name w:val="ListLabel 2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21" w:customStyle="1">
    <w:name w:val="ListLabel 21"/>
    <w:qFormat/>
    <w:rsid w:val="004468fd"/>
    <w:rPr>
      <w:rFonts w:ascii="Arial Narrow" w:hAnsi="Arial Narrow" w:cs="Segoe UI"/>
      <w:sz w:val="22"/>
    </w:rPr>
  </w:style>
  <w:style w:type="character" w:styleId="ListLabel22" w:customStyle="1">
    <w:name w:val="ListLabel 22"/>
    <w:qFormat/>
    <w:rsid w:val="004468fd"/>
    <w:rPr>
      <w:rFonts w:cs="Courier New"/>
    </w:rPr>
  </w:style>
  <w:style w:type="character" w:styleId="ListLabel23" w:customStyle="1">
    <w:name w:val="ListLabel 23"/>
    <w:qFormat/>
    <w:rsid w:val="004468fd"/>
    <w:rPr>
      <w:rFonts w:cs="Wingdings"/>
    </w:rPr>
  </w:style>
  <w:style w:type="character" w:styleId="ListLabel24" w:customStyle="1">
    <w:name w:val="ListLabel 24"/>
    <w:qFormat/>
    <w:rsid w:val="004468fd"/>
    <w:rPr>
      <w:rFonts w:cs="Symbol"/>
    </w:rPr>
  </w:style>
  <w:style w:type="character" w:styleId="ListLabel25" w:customStyle="1">
    <w:name w:val="ListLabel 25"/>
    <w:qFormat/>
    <w:rsid w:val="004468fd"/>
    <w:rPr>
      <w:rFonts w:cs="Courier New"/>
    </w:rPr>
  </w:style>
  <w:style w:type="character" w:styleId="ListLabel26" w:customStyle="1">
    <w:name w:val="ListLabel 26"/>
    <w:qFormat/>
    <w:rsid w:val="004468fd"/>
    <w:rPr>
      <w:rFonts w:cs="Wingdings"/>
    </w:rPr>
  </w:style>
  <w:style w:type="character" w:styleId="ListLabel27" w:customStyle="1">
    <w:name w:val="ListLabel 27"/>
    <w:qFormat/>
    <w:rsid w:val="004468fd"/>
    <w:rPr>
      <w:rFonts w:cs="Symbol"/>
    </w:rPr>
  </w:style>
  <w:style w:type="character" w:styleId="ListLabel28" w:customStyle="1">
    <w:name w:val="ListLabel 28"/>
    <w:qFormat/>
    <w:rsid w:val="004468fd"/>
    <w:rPr>
      <w:rFonts w:cs="Courier New"/>
    </w:rPr>
  </w:style>
  <w:style w:type="character" w:styleId="ListLabel29" w:customStyle="1">
    <w:name w:val="ListLabel 29"/>
    <w:qFormat/>
    <w:rsid w:val="004468fd"/>
    <w:rPr>
      <w:rFonts w:cs="Wingdings"/>
    </w:rPr>
  </w:style>
  <w:style w:type="character" w:styleId="ListLabel30" w:customStyle="1">
    <w:name w:val="ListLabel 3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31" w:customStyle="1">
    <w:name w:val="ListLabel 31"/>
    <w:qFormat/>
    <w:rsid w:val="004468fd"/>
    <w:rPr>
      <w:rFonts w:ascii="Arial Narrow" w:hAnsi="Arial Narrow" w:cs="Segoe UI"/>
      <w:sz w:val="22"/>
    </w:rPr>
  </w:style>
  <w:style w:type="character" w:styleId="ListLabel32" w:customStyle="1">
    <w:name w:val="ListLabel 32"/>
    <w:qFormat/>
    <w:rsid w:val="004468fd"/>
    <w:rPr>
      <w:rFonts w:cs="Courier New"/>
    </w:rPr>
  </w:style>
  <w:style w:type="character" w:styleId="ListLabel33" w:customStyle="1">
    <w:name w:val="ListLabel 33"/>
    <w:qFormat/>
    <w:rsid w:val="004468fd"/>
    <w:rPr>
      <w:rFonts w:cs="Wingdings"/>
    </w:rPr>
  </w:style>
  <w:style w:type="character" w:styleId="ListLabel34" w:customStyle="1">
    <w:name w:val="ListLabel 34"/>
    <w:qFormat/>
    <w:rsid w:val="004468fd"/>
    <w:rPr>
      <w:rFonts w:cs="Symbol"/>
    </w:rPr>
  </w:style>
  <w:style w:type="character" w:styleId="ListLabel35" w:customStyle="1">
    <w:name w:val="ListLabel 35"/>
    <w:qFormat/>
    <w:rsid w:val="004468fd"/>
    <w:rPr>
      <w:rFonts w:cs="Courier New"/>
    </w:rPr>
  </w:style>
  <w:style w:type="character" w:styleId="ListLabel36" w:customStyle="1">
    <w:name w:val="ListLabel 36"/>
    <w:qFormat/>
    <w:rsid w:val="004468fd"/>
    <w:rPr>
      <w:rFonts w:cs="Wingdings"/>
    </w:rPr>
  </w:style>
  <w:style w:type="character" w:styleId="ListLabel37" w:customStyle="1">
    <w:name w:val="ListLabel 37"/>
    <w:qFormat/>
    <w:rsid w:val="004468fd"/>
    <w:rPr>
      <w:rFonts w:cs="Symbol"/>
    </w:rPr>
  </w:style>
  <w:style w:type="character" w:styleId="ListLabel38" w:customStyle="1">
    <w:name w:val="ListLabel 38"/>
    <w:qFormat/>
    <w:rsid w:val="004468fd"/>
    <w:rPr>
      <w:rFonts w:cs="Courier New"/>
    </w:rPr>
  </w:style>
  <w:style w:type="character" w:styleId="ListLabel39" w:customStyle="1">
    <w:name w:val="ListLabel 39"/>
    <w:qFormat/>
    <w:rsid w:val="004468fd"/>
    <w:rPr>
      <w:rFonts w:cs="Wingdings"/>
    </w:rPr>
  </w:style>
  <w:style w:type="character" w:styleId="ListLabel40" w:customStyle="1">
    <w:name w:val="ListLabel 4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41" w:customStyle="1">
    <w:name w:val="ListLabel 41"/>
    <w:qFormat/>
    <w:rsid w:val="004468fd"/>
    <w:rPr>
      <w:rFonts w:ascii="Arial Narrow" w:hAnsi="Arial Narrow" w:cs="Segoe UI"/>
      <w:sz w:val="22"/>
    </w:rPr>
  </w:style>
  <w:style w:type="character" w:styleId="ListLabel42" w:customStyle="1">
    <w:name w:val="ListLabel 42"/>
    <w:qFormat/>
    <w:rsid w:val="004468fd"/>
    <w:rPr>
      <w:rFonts w:cs="Courier New"/>
    </w:rPr>
  </w:style>
  <w:style w:type="character" w:styleId="ListLabel43" w:customStyle="1">
    <w:name w:val="ListLabel 43"/>
    <w:qFormat/>
    <w:rsid w:val="004468fd"/>
    <w:rPr>
      <w:rFonts w:cs="Wingdings"/>
    </w:rPr>
  </w:style>
  <w:style w:type="character" w:styleId="ListLabel44" w:customStyle="1">
    <w:name w:val="ListLabel 44"/>
    <w:qFormat/>
    <w:rsid w:val="004468fd"/>
    <w:rPr>
      <w:rFonts w:cs="Symbol"/>
    </w:rPr>
  </w:style>
  <w:style w:type="character" w:styleId="ListLabel45" w:customStyle="1">
    <w:name w:val="ListLabel 45"/>
    <w:qFormat/>
    <w:rsid w:val="004468fd"/>
    <w:rPr>
      <w:rFonts w:cs="Courier New"/>
    </w:rPr>
  </w:style>
  <w:style w:type="character" w:styleId="ListLabel46" w:customStyle="1">
    <w:name w:val="ListLabel 46"/>
    <w:qFormat/>
    <w:rsid w:val="004468fd"/>
    <w:rPr>
      <w:rFonts w:cs="Wingdings"/>
    </w:rPr>
  </w:style>
  <w:style w:type="character" w:styleId="ListLabel47" w:customStyle="1">
    <w:name w:val="ListLabel 47"/>
    <w:qFormat/>
    <w:rsid w:val="004468fd"/>
    <w:rPr>
      <w:rFonts w:cs="Symbol"/>
    </w:rPr>
  </w:style>
  <w:style w:type="character" w:styleId="ListLabel48" w:customStyle="1">
    <w:name w:val="ListLabel 48"/>
    <w:qFormat/>
    <w:rsid w:val="004468fd"/>
    <w:rPr>
      <w:rFonts w:cs="Courier New"/>
    </w:rPr>
  </w:style>
  <w:style w:type="character" w:styleId="ListLabel49" w:customStyle="1">
    <w:name w:val="ListLabel 49"/>
    <w:qFormat/>
    <w:rsid w:val="004468fd"/>
    <w:rPr>
      <w:rFonts w:cs="Wingdings"/>
    </w:rPr>
  </w:style>
  <w:style w:type="character" w:styleId="ListLabel50" w:customStyle="1">
    <w:name w:val="ListLabel 5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51" w:customStyle="1">
    <w:name w:val="ListLabel 51"/>
    <w:qFormat/>
    <w:rsid w:val="004468fd"/>
    <w:rPr>
      <w:rFonts w:ascii="Arial Narrow" w:hAnsi="Arial Narrow" w:cs="Segoe UI"/>
      <w:sz w:val="22"/>
    </w:rPr>
  </w:style>
  <w:style w:type="character" w:styleId="ListLabel52" w:customStyle="1">
    <w:name w:val="ListLabel 52"/>
    <w:qFormat/>
    <w:rsid w:val="004468fd"/>
    <w:rPr>
      <w:rFonts w:cs="Courier New"/>
    </w:rPr>
  </w:style>
  <w:style w:type="character" w:styleId="ListLabel53" w:customStyle="1">
    <w:name w:val="ListLabel 53"/>
    <w:qFormat/>
    <w:rsid w:val="004468fd"/>
    <w:rPr>
      <w:rFonts w:cs="Wingdings"/>
    </w:rPr>
  </w:style>
  <w:style w:type="character" w:styleId="ListLabel54" w:customStyle="1">
    <w:name w:val="ListLabel 54"/>
    <w:qFormat/>
    <w:rsid w:val="004468fd"/>
    <w:rPr>
      <w:rFonts w:cs="Symbol"/>
    </w:rPr>
  </w:style>
  <w:style w:type="character" w:styleId="ListLabel55" w:customStyle="1">
    <w:name w:val="ListLabel 55"/>
    <w:qFormat/>
    <w:rsid w:val="004468fd"/>
    <w:rPr>
      <w:rFonts w:cs="Courier New"/>
    </w:rPr>
  </w:style>
  <w:style w:type="character" w:styleId="ListLabel56" w:customStyle="1">
    <w:name w:val="ListLabel 56"/>
    <w:qFormat/>
    <w:rsid w:val="004468fd"/>
    <w:rPr>
      <w:rFonts w:cs="Wingdings"/>
    </w:rPr>
  </w:style>
  <w:style w:type="character" w:styleId="ListLabel57" w:customStyle="1">
    <w:name w:val="ListLabel 57"/>
    <w:qFormat/>
    <w:rsid w:val="004468fd"/>
    <w:rPr>
      <w:rFonts w:cs="Symbol"/>
    </w:rPr>
  </w:style>
  <w:style w:type="character" w:styleId="ListLabel58" w:customStyle="1">
    <w:name w:val="ListLabel 58"/>
    <w:qFormat/>
    <w:rsid w:val="004468fd"/>
    <w:rPr>
      <w:rFonts w:cs="Courier New"/>
    </w:rPr>
  </w:style>
  <w:style w:type="character" w:styleId="ListLabel59" w:customStyle="1">
    <w:name w:val="ListLabel 59"/>
    <w:qFormat/>
    <w:rsid w:val="004468fd"/>
    <w:rPr>
      <w:rFonts w:cs="Wingdings"/>
    </w:rPr>
  </w:style>
  <w:style w:type="character" w:styleId="ListLabel60" w:customStyle="1">
    <w:name w:val="ListLabel 6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61" w:customStyle="1">
    <w:name w:val="ListLabel 61"/>
    <w:qFormat/>
    <w:rsid w:val="004468fd"/>
    <w:rPr>
      <w:rFonts w:ascii="Arial Narrow" w:hAnsi="Arial Narrow" w:cs="Segoe UI"/>
      <w:sz w:val="22"/>
    </w:rPr>
  </w:style>
  <w:style w:type="character" w:styleId="ListLabel62" w:customStyle="1">
    <w:name w:val="ListLabel 62"/>
    <w:qFormat/>
    <w:rsid w:val="004468fd"/>
    <w:rPr>
      <w:rFonts w:cs="Courier New"/>
    </w:rPr>
  </w:style>
  <w:style w:type="character" w:styleId="ListLabel63" w:customStyle="1">
    <w:name w:val="ListLabel 63"/>
    <w:qFormat/>
    <w:rsid w:val="004468fd"/>
    <w:rPr>
      <w:rFonts w:cs="Wingdings"/>
    </w:rPr>
  </w:style>
  <w:style w:type="character" w:styleId="ListLabel64" w:customStyle="1">
    <w:name w:val="ListLabel 64"/>
    <w:qFormat/>
    <w:rsid w:val="004468fd"/>
    <w:rPr>
      <w:rFonts w:cs="Symbol"/>
    </w:rPr>
  </w:style>
  <w:style w:type="character" w:styleId="ListLabel65" w:customStyle="1">
    <w:name w:val="ListLabel 65"/>
    <w:qFormat/>
    <w:rsid w:val="004468fd"/>
    <w:rPr>
      <w:rFonts w:cs="Courier New"/>
    </w:rPr>
  </w:style>
  <w:style w:type="character" w:styleId="ListLabel66" w:customStyle="1">
    <w:name w:val="ListLabel 66"/>
    <w:qFormat/>
    <w:rsid w:val="004468fd"/>
    <w:rPr>
      <w:rFonts w:cs="Wingdings"/>
    </w:rPr>
  </w:style>
  <w:style w:type="character" w:styleId="ListLabel67" w:customStyle="1">
    <w:name w:val="ListLabel 67"/>
    <w:qFormat/>
    <w:rsid w:val="004468fd"/>
    <w:rPr>
      <w:rFonts w:cs="Symbol"/>
    </w:rPr>
  </w:style>
  <w:style w:type="character" w:styleId="ListLabel68" w:customStyle="1">
    <w:name w:val="ListLabel 68"/>
    <w:qFormat/>
    <w:rsid w:val="004468fd"/>
    <w:rPr>
      <w:rFonts w:cs="Courier New"/>
    </w:rPr>
  </w:style>
  <w:style w:type="character" w:styleId="ListLabel69" w:customStyle="1">
    <w:name w:val="ListLabel 69"/>
    <w:qFormat/>
    <w:rsid w:val="004468fd"/>
    <w:rPr>
      <w:rFonts w:cs="Wingdings"/>
    </w:rPr>
  </w:style>
  <w:style w:type="character" w:styleId="ListLabel70" w:customStyle="1">
    <w:name w:val="ListLabel 7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71">
    <w:name w:val="ListLabel 71"/>
    <w:qFormat/>
    <w:rPr>
      <w:rFonts w:cs="Segoe UI"/>
      <w:sz w:val="22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eastAsia="Lucida Sans Unicode" w:cs="Times New Roman"/>
      <w:sz w:val="22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Times New Roman"/>
      <w:sz w:val="22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Times New Roman"/>
      <w:sz w:val="22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Times New Roman"/>
      <w:sz w:val="22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paragraph" w:styleId="Stilnaslova" w:customStyle="1">
    <w:name w:val="Stil naslova"/>
    <w:basedOn w:val="Normal"/>
    <w:next w:val="Tijeloteksta"/>
    <w:qFormat/>
    <w:rsid w:val="004468f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468fd"/>
    <w:pPr>
      <w:spacing w:lineRule="auto" w:line="276" w:before="0" w:after="140"/>
    </w:pPr>
    <w:rPr/>
  </w:style>
  <w:style w:type="paragraph" w:styleId="Popis">
    <w:name w:val="List"/>
    <w:basedOn w:val="Tijeloteksta"/>
    <w:rsid w:val="004468fd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468f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468fd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e690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 w:customStyle="1">
    <w:name w:val="Sadržaji tablice"/>
    <w:basedOn w:val="Normal"/>
    <w:qFormat/>
    <w:rsid w:val="004468fd"/>
    <w:pPr>
      <w:suppressLineNumbers/>
    </w:pPr>
    <w:rPr/>
  </w:style>
  <w:style w:type="paragraph" w:styleId="Naslovtablice" w:customStyle="1">
    <w:name w:val="Naslov tablice"/>
    <w:basedOn w:val="Sadrajitablice"/>
    <w:qFormat/>
    <w:rsid w:val="004468fd"/>
    <w:pPr>
      <w:jc w:val="center"/>
    </w:pPr>
    <w:rPr>
      <w:b/>
      <w:bCs/>
    </w:rPr>
  </w:style>
  <w:style w:type="paragraph" w:styleId="NoSpacing">
    <w:name w:val="No Spacing"/>
    <w:uiPriority w:val="1"/>
    <w:qFormat/>
    <w:rsid w:val="004468fd"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365e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d5f2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LibreOffice/6.2.4.2$Windows_X86_64 LibreOffice_project/2412653d852ce75f65fbfa83fb7e7b669a126d64</Application>
  <Pages>34</Pages>
  <Words>1606</Words>
  <Characters>10207</Characters>
  <CharactersWithSpaces>11611</CharactersWithSpaces>
  <Paragraphs>439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2023-05-08T05:38:00Z</dcterms:created>
  <dc:creator>URED-PC</dc:creator>
  <dc:description/>
  <dc:language>hr-HR</dc:language>
  <cp:lastModifiedBy/>
  <cp:lastPrinted>2023-07-20T14:00:10Z</cp:lastPrinted>
  <dcterms:modified xsi:type="dcterms:W3CDTF">2023-07-21T14:01:13Z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