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2"/>
          <w:szCs w:val="22"/>
        </w:rPr>
        <w:t xml:space="preserve">             </w:t>
      </w:r>
    </w:p>
    <w:tbl>
      <w:tblPr>
        <w:tblW w:w="8954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4814"/>
      </w:tblGrid>
      <w:tr>
        <w:trPr/>
        <w:tc>
          <w:tcPr>
            <w:tcW w:w="413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en-US"/>
              </w:rPr>
            </w:r>
          </w:p>
        </w:tc>
        <w:tc>
          <w:tcPr>
            <w:tcW w:w="4814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363-01/20-01/03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2211/07-21-5</w:t>
      </w:r>
    </w:p>
    <w:p>
      <w:pPr>
        <w:pStyle w:val="Normal"/>
        <w:rPr/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studenog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</w:rPr>
        <w:t xml:space="preserve">Na temelju članka 72. Zakona o komunalnom gospodarstvu („Narodne novine“ broj 68/18 i 110/18, </w:t>
      </w:r>
      <w:r>
        <w:rPr>
          <w:rFonts w:cs="Tahoma" w:ascii="Arial Narrow" w:hAnsi="Arial Narrow"/>
          <w:sz w:val="22"/>
          <w:szCs w:val="22"/>
        </w:rPr>
        <w:t>32/20</w:t>
      </w:r>
      <w:r>
        <w:rPr>
          <w:rFonts w:cs="Tahoma" w:ascii="Arial Narrow" w:hAnsi="Arial Narrow"/>
        </w:rPr>
        <w:t xml:space="preserve">) i članka 39. Statuta Općine Mihovljan („Službeni glasnik Krapinsko-zagorske županije“ br. 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6</w:t>
      </w:r>
      <w:r>
        <w:rPr>
          <w:rFonts w:cs="Tahoma" w:ascii="Arial Narrow" w:hAnsi="Arial Narrow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studenog</w:t>
      </w:r>
      <w:r>
        <w:rPr>
          <w:rFonts w:cs="Tahoma" w:ascii="Arial Narrow" w:hAnsi="Arial Narrow"/>
          <w:szCs w:val="20"/>
        </w:rPr>
        <w:t xml:space="preserve"> 2021. </w:t>
      </w:r>
      <w:r>
        <w:rPr>
          <w:rFonts w:cs="Tahoma" w:ascii="Arial Narrow" w:hAnsi="Arial Narrow"/>
        </w:rPr>
        <w:t>godine, donijelo je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 xml:space="preserve"> </w:t>
      </w:r>
      <w:r>
        <w:rPr>
          <w:rFonts w:cs="Tahoma" w:ascii="Arial Narrow" w:hAnsi="Arial Narrow"/>
          <w:b/>
          <w:bCs/>
        </w:rPr>
        <w:t>PROGRAM ODRŽAVANJA OBJEKATA KOMUNALNE</w:t>
      </w:r>
      <w:r>
        <w:rPr>
          <w:rFonts w:cs="Tahoma" w:ascii="Arial Narrow" w:hAnsi="Arial Narrow"/>
          <w:b/>
          <w:bCs/>
          <w:color w:val="00000A"/>
        </w:rPr>
        <w:t xml:space="preserve"> </w:t>
      </w:r>
      <w:r>
        <w:rPr>
          <w:rFonts w:cs="Tahoma" w:ascii="Arial Narrow" w:hAnsi="Arial Narrow"/>
          <w:b/>
          <w:bCs/>
        </w:rPr>
        <w:t>INFRASTRUKTURE</w:t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  <w:bCs/>
        </w:rPr>
        <w:t>NA PODRUČJU OPĆINE MIHOVLJAN UZ I. IZMJENE I DOPUNE PRORAČUNA ZA 2021. GODINU</w:t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1.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b/>
        </w:rPr>
        <w:tab/>
      </w:r>
      <w:r>
        <w:rPr>
          <w:rFonts w:cs="Tahoma" w:ascii="Arial Narrow" w:hAnsi="Arial Narrow"/>
        </w:rPr>
        <w:t>Ovim Programom održavanja komunalne infrastrukture u 2021. godini na području Općine Mihovljan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javnih zelenih površina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održavanje javne rasvjete</w:t>
      </w:r>
    </w:p>
    <w:p>
      <w:pPr>
        <w:pStyle w:val="Normal"/>
        <w:jc w:val="center"/>
        <w:rPr>
          <w:rFonts w:ascii="Arial Narrow" w:hAnsi="Arial Narrow" w:cs="Tahoma"/>
          <w:b/>
          <w:b/>
          <w:bCs/>
        </w:rPr>
      </w:pPr>
      <w:r>
        <w:rPr>
          <w:rFonts w:cs="Tahoma" w:ascii="Arial Narrow" w:hAnsi="Arial Narrow"/>
          <w:b/>
          <w:bCs/>
        </w:rPr>
        <w:t>Članak 2.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Program održavanja komunalne infrastrukture u 2021. godini izrađen je u skladu s predvidivim sredstvima i izvornima financiranja utvrđenih Proračunom Općine Mihovljan za 2021. godinu.</w:t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3.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</w:rPr>
        <w:t>Sredstva za ostvarivanje Programa održavanja komunalne infrastrukture u 2021. godini planirana su u iznosu od 796.000,00 kuna, a osigurat će se iz sljedećih izvora:</w:t>
      </w:r>
    </w:p>
    <w:p>
      <w:pPr>
        <w:pStyle w:val="Normal"/>
        <w:ind w:firstLine="708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98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3387"/>
        <w:gridCol w:w="1950"/>
        <w:gridCol w:w="1983"/>
        <w:gridCol w:w="1993"/>
      </w:tblGrid>
      <w:tr>
        <w:trPr/>
        <w:tc>
          <w:tcPr>
            <w:tcW w:w="4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R.b.</w:t>
            </w:r>
          </w:p>
        </w:tc>
        <w:tc>
          <w:tcPr>
            <w:tcW w:w="338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1950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98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993" w:type="dxa"/>
            <w:tcBorders/>
            <w:shd w:color="auto" w:fill="D9D9D9" w:themeFill="background1" w:themeFillShade="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Šumski doprinos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1.000,00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Prihod od grobne naknade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186.000,00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186.000,00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III.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Tekuće pomoći iz Županijskog proračuna-tekuće i inv. održ. k. i.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150.000,00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150.000,00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IV.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Vodni doprinos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15.000,00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Ref. Građana za el. energiju za javnu rasvjetu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VI.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Suf. građana – uređenje nerazvrstanih cesta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5.000,00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VII.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Suf. građana – uređenje odvodnih jaraka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10.000,00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-10.000,00</w:t>
            </w:r>
          </w:p>
        </w:tc>
      </w:tr>
      <w:tr>
        <w:trPr/>
        <w:tc>
          <w:tcPr>
            <w:tcW w:w="49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VIII.</w:t>
            </w:r>
          </w:p>
        </w:tc>
        <w:tc>
          <w:tcPr>
            <w:tcW w:w="33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Ostali prihodi Proračuna</w:t>
            </w:r>
          </w:p>
        </w:tc>
        <w:tc>
          <w:tcPr>
            <w:tcW w:w="1950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488.500,00</w:t>
            </w:r>
          </w:p>
        </w:tc>
        <w:tc>
          <w:tcPr>
            <w:tcW w:w="1983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418.500,00</w:t>
            </w:r>
          </w:p>
        </w:tc>
        <w:tc>
          <w:tcPr>
            <w:tcW w:w="19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-70.000,00</w:t>
            </w:r>
          </w:p>
        </w:tc>
      </w:tr>
      <w:tr>
        <w:trPr/>
        <w:tc>
          <w:tcPr>
            <w:tcW w:w="4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338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UKUPNO</w:t>
            </w:r>
          </w:p>
        </w:tc>
        <w:tc>
          <w:tcPr>
            <w:tcW w:w="195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856.000,00 </w:t>
            </w:r>
          </w:p>
        </w:tc>
        <w:tc>
          <w:tcPr>
            <w:tcW w:w="1983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776.000,00</w:t>
            </w:r>
          </w:p>
        </w:tc>
        <w:tc>
          <w:tcPr>
            <w:tcW w:w="199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-80.000,00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360"/>
        <w:jc w:val="center"/>
        <w:rPr/>
      </w:pPr>
      <w:r>
        <w:rPr>
          <w:rFonts w:cs="Tahoma" w:ascii="Arial Narrow" w:hAnsi="Arial Narrow"/>
          <w:b/>
        </w:rPr>
        <w:t>Članak 4.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1. ODRŽAVANJE NERAZVRSTANIH CESTA I JAVNO PROMETNIH POVRŠINA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0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297"/>
        <w:gridCol w:w="1165"/>
        <w:gridCol w:w="1263"/>
        <w:gridCol w:w="957"/>
        <w:gridCol w:w="3"/>
        <w:gridCol w:w="5"/>
        <w:gridCol w:w="1298"/>
        <w:gridCol w:w="3"/>
        <w:gridCol w:w="5"/>
        <w:gridCol w:w="1334"/>
      </w:tblGrid>
      <w:tr>
        <w:trPr>
          <w:trHeight w:val="397" w:hRule="atLeast"/>
        </w:trPr>
        <w:tc>
          <w:tcPr>
            <w:tcW w:w="7364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1. ODRŽAVANJE NERAZVRSTANIH CESTA I JAVNO PROMETNIH POVRŠINA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33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67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ed.br.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Planirano ukupno (kn)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Izvori financiranja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Pozicija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PRIJEVOZ MATERIJALA PO CESTAMA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90.000,00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III., 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3232.11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90.000,00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RAD STROJEM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60.000,00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3232.12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KOŠNJA BANKINA UZ NERAZVRSTANU CESTU I ZEMLJIŠTA U VL. OPĆINE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70.000,00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3232.17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75.000,00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5.000,00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1.4.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SANIRANJE UDARNIH JAMA NA NERAZVRST. CESTAMA I UREĐ. BANKINA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55.000,00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VI., 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3232.18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-55.000,00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1.5.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ŽUPANIJSKA CESTA –ZEMLJANI RADOVI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5.000,00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 xml:space="preserve">VII., 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3232.19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5.000,00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1.6.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IZDACI ZA ZIMSKU SLUŽBU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60.000,00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3234.90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60.000,00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1.7.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KAMENI MATERIJAL ZA CESTE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70.000,00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III., 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3224.41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1.8.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CIJEVI ZA CESTE I ODVODNJU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I., IV., 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3224.42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1.9.</w:t>
            </w:r>
          </w:p>
        </w:tc>
        <w:tc>
          <w:tcPr>
            <w:tcW w:w="3297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PROMETNI ZNAKOVI</w:t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15.000,00</w:t>
            </w:r>
          </w:p>
        </w:tc>
        <w:tc>
          <w:tcPr>
            <w:tcW w:w="126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957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3224.45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15.000,00</w:t>
            </w:r>
          </w:p>
        </w:tc>
        <w:tc>
          <w:tcPr>
            <w:tcW w:w="1342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7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329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3388" w:type="dxa"/>
            <w:gridSpan w:val="4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455.000,00kn</w:t>
            </w:r>
          </w:p>
        </w:tc>
        <w:tc>
          <w:tcPr>
            <w:tcW w:w="1306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435.000,00</w:t>
            </w:r>
          </w:p>
        </w:tc>
        <w:tc>
          <w:tcPr>
            <w:tcW w:w="133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-20.000,00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2. ODRŽAVANJE JAVNIH ZELENIH POVRŠINA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b/>
        </w:rPr>
        <w:tab/>
      </w:r>
      <w:r>
        <w:rPr>
          <w:rFonts w:cs="Tahoma" w:ascii="Arial Narrow" w:hAnsi="Arial Narrow"/>
        </w:rPr>
        <w:t>Programom održavanja javnih zelenih površina na području Općine Mihovljan za 2021. godinu obuhvaćeni su svi uređeni dijelovi naselja Općine, a u ostalim naseljima uređeni parkovi i dječja igrališta.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>
      <w:pPr>
        <w:pStyle w:val="Normal"/>
        <w:spacing w:lineRule="auto" w:line="264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tbl>
      <w:tblPr>
        <w:tblStyle w:val="Reetkatablice"/>
        <w:tblW w:w="1000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3005"/>
        <w:gridCol w:w="1122"/>
        <w:gridCol w:w="1386"/>
        <w:gridCol w:w="1076"/>
        <w:gridCol w:w="3"/>
        <w:gridCol w:w="3"/>
        <w:gridCol w:w="1420"/>
        <w:gridCol w:w="3"/>
        <w:gridCol w:w="3"/>
        <w:gridCol w:w="1439"/>
      </w:tblGrid>
      <w:tr>
        <w:trPr>
          <w:trHeight w:val="397" w:hRule="atLeast"/>
        </w:trPr>
        <w:tc>
          <w:tcPr>
            <w:tcW w:w="7139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2. ODRŽAVANJE JAVNIH ZELENIH POVRŠINA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43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4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30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12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Planirano ukupno (kn)</w:t>
            </w:r>
          </w:p>
        </w:tc>
        <w:tc>
          <w:tcPr>
            <w:tcW w:w="13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Izvori financiranja</w:t>
            </w:r>
          </w:p>
        </w:tc>
        <w:tc>
          <w:tcPr>
            <w:tcW w:w="107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Pozicija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445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4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30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UREĐENJE ODVODNIH JARAKA (koji nisu u nadležnosti Hr voda)</w:t>
            </w:r>
          </w:p>
        </w:tc>
        <w:tc>
          <w:tcPr>
            <w:tcW w:w="112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20.000,00</w:t>
            </w:r>
          </w:p>
        </w:tc>
        <w:tc>
          <w:tcPr>
            <w:tcW w:w="138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VII.,</w:t>
            </w:r>
          </w:p>
        </w:tc>
        <w:tc>
          <w:tcPr>
            <w:tcW w:w="1076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3232.13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1445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-20.000,00</w:t>
            </w:r>
          </w:p>
        </w:tc>
      </w:tr>
      <w:tr>
        <w:trPr>
          <w:trHeight w:val="340" w:hRule="atLeast"/>
        </w:trPr>
        <w:tc>
          <w:tcPr>
            <w:tcW w:w="54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30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SANACIJA DIVLJIH ODLAGALIŠTA</w:t>
            </w:r>
          </w:p>
        </w:tc>
        <w:tc>
          <w:tcPr>
            <w:tcW w:w="112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15.000,00</w:t>
            </w:r>
          </w:p>
        </w:tc>
        <w:tc>
          <w:tcPr>
            <w:tcW w:w="138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1076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3234.41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15.000,00</w:t>
            </w:r>
          </w:p>
        </w:tc>
        <w:tc>
          <w:tcPr>
            <w:tcW w:w="1445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4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30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ODRŽAVANJE GROBLJA I JAVNIH POVRŠINA</w:t>
            </w:r>
          </w:p>
        </w:tc>
        <w:tc>
          <w:tcPr>
            <w:tcW w:w="112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110.000,00</w:t>
            </w:r>
          </w:p>
        </w:tc>
        <w:tc>
          <w:tcPr>
            <w:tcW w:w="138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II.</w:t>
            </w:r>
          </w:p>
        </w:tc>
        <w:tc>
          <w:tcPr>
            <w:tcW w:w="1076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3234.91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110.000,00</w:t>
            </w:r>
          </w:p>
        </w:tc>
        <w:tc>
          <w:tcPr>
            <w:tcW w:w="1445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4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1.4.</w:t>
            </w:r>
          </w:p>
        </w:tc>
        <w:tc>
          <w:tcPr>
            <w:tcW w:w="30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TEKUĆE UREĐENJE CENTRA MIHOVLJANA</w:t>
            </w:r>
          </w:p>
        </w:tc>
        <w:tc>
          <w:tcPr>
            <w:tcW w:w="112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10.000,00</w:t>
            </w:r>
          </w:p>
        </w:tc>
        <w:tc>
          <w:tcPr>
            <w:tcW w:w="138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1076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3224.46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10.000,00</w:t>
            </w:r>
          </w:p>
        </w:tc>
        <w:tc>
          <w:tcPr>
            <w:tcW w:w="1445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44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1.5.</w:t>
            </w:r>
          </w:p>
        </w:tc>
        <w:tc>
          <w:tcPr>
            <w:tcW w:w="300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STARI GRAD – UREĐENJE ZEMLJIŠTA</w:t>
            </w:r>
          </w:p>
        </w:tc>
        <w:tc>
          <w:tcPr>
            <w:tcW w:w="112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40.000,00</w:t>
            </w:r>
          </w:p>
        </w:tc>
        <w:tc>
          <w:tcPr>
            <w:tcW w:w="1386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1076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3232.14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45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-40.000,00</w:t>
            </w:r>
          </w:p>
        </w:tc>
      </w:tr>
      <w:tr>
        <w:trPr>
          <w:trHeight w:val="340" w:hRule="atLeast"/>
        </w:trPr>
        <w:tc>
          <w:tcPr>
            <w:tcW w:w="544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3005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3587" w:type="dxa"/>
            <w:gridSpan w:val="4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195.000,00kn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135.000,00</w:t>
            </w:r>
          </w:p>
        </w:tc>
        <w:tc>
          <w:tcPr>
            <w:tcW w:w="14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-60.000,00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3. ODRŽAVANJE GROBLJA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3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"/>
        <w:gridCol w:w="3042"/>
        <w:gridCol w:w="1145"/>
        <w:gridCol w:w="1323"/>
        <w:gridCol w:w="1104"/>
        <w:gridCol w:w="3"/>
        <w:gridCol w:w="5"/>
        <w:gridCol w:w="1418"/>
        <w:gridCol w:w="3"/>
        <w:gridCol w:w="5"/>
        <w:gridCol w:w="1472"/>
      </w:tblGrid>
      <w:tr>
        <w:trPr>
          <w:trHeight w:val="397" w:hRule="atLeast"/>
        </w:trPr>
        <w:tc>
          <w:tcPr>
            <w:tcW w:w="7140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3. ODRŽAVANJE GROBLJA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51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304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1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Planirano ukupno (kn)</w:t>
            </w:r>
          </w:p>
        </w:tc>
        <w:tc>
          <w:tcPr>
            <w:tcW w:w="13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Izvori financiranja</w:t>
            </w:r>
          </w:p>
        </w:tc>
        <w:tc>
          <w:tcPr>
            <w:tcW w:w="1104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Pozicija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480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1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304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PRIJEVOZ MATERIJALA – MJESNO GROBLJE MIHOVLJAN</w:t>
            </w:r>
          </w:p>
        </w:tc>
        <w:tc>
          <w:tcPr>
            <w:tcW w:w="114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3.000,00</w:t>
            </w:r>
          </w:p>
        </w:tc>
        <w:tc>
          <w:tcPr>
            <w:tcW w:w="132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II.</w:t>
            </w:r>
          </w:p>
        </w:tc>
        <w:tc>
          <w:tcPr>
            <w:tcW w:w="1104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3232.10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3.000,00</w:t>
            </w:r>
          </w:p>
        </w:tc>
        <w:tc>
          <w:tcPr>
            <w:tcW w:w="1480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304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KAMENI MATERIJAL – MJESNO GROBLJE MIHOVLJAN</w:t>
            </w:r>
          </w:p>
        </w:tc>
        <w:tc>
          <w:tcPr>
            <w:tcW w:w="114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3.000,00</w:t>
            </w:r>
          </w:p>
        </w:tc>
        <w:tc>
          <w:tcPr>
            <w:tcW w:w="132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II.</w:t>
            </w:r>
          </w:p>
        </w:tc>
        <w:tc>
          <w:tcPr>
            <w:tcW w:w="1104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3224.40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3.000,00</w:t>
            </w:r>
          </w:p>
        </w:tc>
        <w:tc>
          <w:tcPr>
            <w:tcW w:w="1480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304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IZDACI ZA ODVOZ SMEĆA (KONTEJNERA) SA MJESNOG GROBLJA</w:t>
            </w:r>
          </w:p>
        </w:tc>
        <w:tc>
          <w:tcPr>
            <w:tcW w:w="1145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70.000,00</w:t>
            </w:r>
          </w:p>
        </w:tc>
        <w:tc>
          <w:tcPr>
            <w:tcW w:w="1323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II.</w:t>
            </w:r>
          </w:p>
        </w:tc>
        <w:tc>
          <w:tcPr>
            <w:tcW w:w="1104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3234.21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ahoma" w:ascii="Arial Narrow" w:hAnsi="Arial Narrow"/>
                <w:sz w:val="22"/>
                <w:szCs w:val="22"/>
              </w:rPr>
              <w:t>70.000,00</w:t>
            </w:r>
          </w:p>
        </w:tc>
        <w:tc>
          <w:tcPr>
            <w:tcW w:w="1480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304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3575" w:type="dxa"/>
            <w:gridSpan w:val="4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Tahoma" w:ascii="Arial Narrow" w:hAnsi="Arial Narrow"/>
                <w:b/>
                <w:sz w:val="22"/>
                <w:szCs w:val="22"/>
              </w:rPr>
              <w:t>76.000,00kn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76.000,00kn</w:t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4. ODRŽAVANJE JAVNE RASVJETE</w:t>
      </w:r>
    </w:p>
    <w:p>
      <w:pPr>
        <w:pStyle w:val="Normal"/>
        <w:spacing w:lineRule="auto" w:line="264"/>
        <w:rPr/>
      </w:pPr>
      <w:r>
        <w:rPr>
          <w:rFonts w:cs="Tahoma" w:ascii="Arial Narrow" w:hAnsi="Arial Narrow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>
      <w:pPr>
        <w:pStyle w:val="Normal"/>
        <w:spacing w:lineRule="auto" w:line="264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Style w:val="Reetkatablice"/>
        <w:tblW w:w="1000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"/>
        <w:gridCol w:w="3052"/>
        <w:gridCol w:w="1098"/>
        <w:gridCol w:w="1379"/>
        <w:gridCol w:w="1083"/>
        <w:gridCol w:w="4"/>
        <w:gridCol w:w="4"/>
        <w:gridCol w:w="1418"/>
        <w:gridCol w:w="4"/>
        <w:gridCol w:w="4"/>
        <w:gridCol w:w="1439"/>
      </w:tblGrid>
      <w:tr>
        <w:trPr>
          <w:trHeight w:val="397" w:hRule="atLeast"/>
        </w:trPr>
        <w:tc>
          <w:tcPr>
            <w:tcW w:w="7139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4. ODRŽAVANJE JAVNE RASVJETE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43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51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30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0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Planirano ukupno (kn)</w:t>
            </w:r>
          </w:p>
        </w:tc>
        <w:tc>
          <w:tcPr>
            <w:tcW w:w="13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Izvori financiranja</w:t>
            </w:r>
          </w:p>
        </w:tc>
        <w:tc>
          <w:tcPr>
            <w:tcW w:w="10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bCs/>
                <w:sz w:val="22"/>
                <w:szCs w:val="22"/>
              </w:rPr>
              <w:t>Pozicija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I. izmjene i dopune(kn)</w:t>
            </w:r>
          </w:p>
        </w:tc>
        <w:tc>
          <w:tcPr>
            <w:tcW w:w="1447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51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1.1.</w:t>
            </w:r>
          </w:p>
        </w:tc>
        <w:tc>
          <w:tcPr>
            <w:tcW w:w="305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IZDACI ZA ODRŽAVANJE JAVNE RASVJETE</w:t>
            </w:r>
          </w:p>
        </w:tc>
        <w:tc>
          <w:tcPr>
            <w:tcW w:w="109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137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1083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3232.21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1447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305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DIJELOVI ZA JAVNU RASVJETU</w:t>
            </w:r>
          </w:p>
        </w:tc>
        <w:tc>
          <w:tcPr>
            <w:tcW w:w="109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20.000,00</w:t>
            </w:r>
          </w:p>
        </w:tc>
        <w:tc>
          <w:tcPr>
            <w:tcW w:w="137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VII.</w:t>
            </w:r>
          </w:p>
        </w:tc>
        <w:tc>
          <w:tcPr>
            <w:tcW w:w="1083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3224.44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20.000,00</w:t>
            </w:r>
          </w:p>
        </w:tc>
        <w:tc>
          <w:tcPr>
            <w:tcW w:w="1447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3052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TROŠAK ELEKTRIČNE ENERGIJE ZA JAVNU RASVJETU</w:t>
            </w:r>
          </w:p>
        </w:tc>
        <w:tc>
          <w:tcPr>
            <w:tcW w:w="1098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80.000,00</w:t>
            </w:r>
          </w:p>
        </w:tc>
        <w:tc>
          <w:tcPr>
            <w:tcW w:w="1379" w:type="dxa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V., VII.</w:t>
            </w:r>
          </w:p>
        </w:tc>
        <w:tc>
          <w:tcPr>
            <w:tcW w:w="1083" w:type="dxa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3223.11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84.000,00</w:t>
            </w:r>
          </w:p>
        </w:tc>
        <w:tc>
          <w:tcPr>
            <w:tcW w:w="1447" w:type="dxa"/>
            <w:gridSpan w:val="3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4.000,00</w:t>
            </w:r>
          </w:p>
        </w:tc>
      </w:tr>
      <w:tr>
        <w:trPr>
          <w:trHeight w:val="340" w:hRule="atLeast"/>
        </w:trPr>
        <w:tc>
          <w:tcPr>
            <w:tcW w:w="5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</w:r>
          </w:p>
        </w:tc>
        <w:tc>
          <w:tcPr>
            <w:tcW w:w="305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SVEUKUPNO:</w:t>
            </w:r>
          </w:p>
        </w:tc>
        <w:tc>
          <w:tcPr>
            <w:tcW w:w="3564" w:type="dxa"/>
            <w:gridSpan w:val="4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 Narrow" w:hAnsi="Arial Narrow" w:cs="Tahoma"/>
                <w:b/>
                <w:b/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130.000,00kn</w:t>
            </w:r>
          </w:p>
        </w:tc>
        <w:tc>
          <w:tcPr>
            <w:tcW w:w="1426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130.000,00</w:t>
            </w:r>
          </w:p>
        </w:tc>
        <w:tc>
          <w:tcPr>
            <w:tcW w:w="144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4.000,00</w:t>
            </w:r>
          </w:p>
        </w:tc>
      </w:tr>
    </w:tbl>
    <w:p>
      <w:pPr>
        <w:pStyle w:val="Normal"/>
        <w:spacing w:lineRule="auto" w:line="264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/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/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/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/>
      </w:r>
    </w:p>
    <w:p>
      <w:pPr>
        <w:pStyle w:val="Normal"/>
        <w:spacing w:lineRule="auto" w:line="264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Članak 5.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  <w:sz w:val="24"/>
          <w:szCs w:val="24"/>
        </w:rPr>
        <w:t xml:space="preserve">Ovaj Program održavanja objekata komunalne infrastrukture na području Općine Mihovljan uz I. izmjene i dopune proračuna Općine Mihovljan u 2021. godini </w:t>
      </w:r>
      <w:r>
        <w:rPr>
          <w:rFonts w:cs="Tahoma" w:ascii="Arial Narrow" w:hAnsi="Arial Narrow"/>
          <w:sz w:val="24"/>
          <w:szCs w:val="20"/>
        </w:rPr>
        <w:t>objaviti će se u Službenom glasniku Krapinsko – zagorske županije.</w:t>
      </w:r>
    </w:p>
    <w:p>
      <w:pPr>
        <w:pStyle w:val="Normal"/>
        <w:ind w:left="6372" w:hanging="0"/>
        <w:rPr/>
      </w:pPr>
      <w:r>
        <w:rPr>
          <w:rFonts w:cs="Tahoma"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Arial Narrow" w:hAnsi="Arial Narrow"/>
          <w:sz w:val="20"/>
          <w:szCs w:val="20"/>
        </w:rPr>
        <w:t xml:space="preserve">      </w:t>
      </w:r>
      <w:r>
        <w:rPr>
          <w:rFonts w:cs="Tahoma" w:ascii="Arial Narrow" w:hAnsi="Arial Narrow"/>
          <w:sz w:val="24"/>
          <w:szCs w:val="24"/>
        </w:rPr>
        <w:t xml:space="preserve">             </w:t>
      </w:r>
      <w:r>
        <w:rPr>
          <w:rFonts w:cs="Tahoma" w:ascii="Arial Narrow" w:hAnsi="Arial Narrow"/>
          <w:sz w:val="24"/>
          <w:szCs w:val="24"/>
        </w:rPr>
        <w:t>Predsjednik Općinskog vijeća</w:t>
        <w:tab/>
        <w:t xml:space="preserve">            mr.Silvestar Vučković dr.vet.med                                                                                        </w:t>
      </w:r>
    </w:p>
    <w:p>
      <w:pPr>
        <w:pStyle w:val="Normal"/>
        <w:jc w:val="both"/>
        <w:rPr>
          <w:rFonts w:ascii="Arial Narrow" w:hAnsi="Arial Narrow" w:cs="Tahoma"/>
          <w:sz w:val="24"/>
          <w:szCs w:val="24"/>
        </w:rPr>
      </w:pPr>
      <w:r>
        <w:rPr>
          <w:rFonts w:cs="Tahoma" w:ascii="Arial Narrow" w:hAnsi="Arial Narrow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5, 10000 Zagreb, </w:t>
      </w:r>
      <w:hyperlink r:id="rId3">
        <w:r>
          <w:rPr>
            <w:rStyle w:val="Internetskapoveznica"/>
            <w:rFonts w:cs="Tahoma" w:ascii="Arial Narrow" w:hAnsi="Arial Narrow"/>
            <w:sz w:val="22"/>
            <w:szCs w:val="22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707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LibreOffice/7.2.2.2$Windows_X86_64 LibreOffice_project/02b2acce88a210515b4a5bb2e46cbfb63fe97d56</Application>
  <AppVersion>15.0000</AppVersion>
  <DocSecurity>0</DocSecurity>
  <Pages>4</Pages>
  <Words>1130</Words>
  <Characters>7350</Characters>
  <CharactersWithSpaces>8536</CharactersWithSpaces>
  <Paragraphs>286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2020-12-23T12:30:00Z</dcterms:created>
  <dc:creator>ZDENKO</dc:creator>
  <dc:description/>
  <dc:language>hr-HR</dc:language>
  <cp:lastModifiedBy/>
  <cp:lastPrinted>2021-11-04T09:05:43Z</cp:lastPrinted>
  <dcterms:modified xsi:type="dcterms:W3CDTF">2021-11-23T09:41:48Z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