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8995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8"/>
        <w:gridCol w:w="4836"/>
      </w:tblGrid>
      <w:tr>
        <w:trPr>
          <w:trHeight w:val="1611" w:hRule="atLeast"/>
        </w:trPr>
        <w:tc>
          <w:tcPr>
            <w:tcW w:w="4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3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KLASA: 361-01/20-01/04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>URBROJ: 2211/07-21-5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8</w:t>
      </w:r>
      <w:r>
        <w:rPr>
          <w:rFonts w:cs="Tahoma" w:ascii="Arial Narrow" w:hAnsi="Arial Narrow"/>
          <w:sz w:val="22"/>
          <w:szCs w:val="22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studenog</w:t>
      </w:r>
      <w:r>
        <w:rPr>
          <w:rFonts w:cs="Tahoma" w:ascii="Arial Narrow" w:hAnsi="Arial Narrow"/>
          <w:sz w:val="22"/>
          <w:szCs w:val="22"/>
        </w:rPr>
        <w:t xml:space="preserve"> 2021.</w:t>
      </w:r>
    </w:p>
    <w:p>
      <w:pPr>
        <w:pStyle w:val="Normal"/>
        <w:jc w:val="both"/>
        <w:rPr>
          <w:rFonts w:ascii="Arial Narrow" w:hAnsi="Arial Narrow" w:cs="Tahoma"/>
          <w:sz w:val="16"/>
          <w:szCs w:val="16"/>
        </w:rPr>
      </w:pPr>
      <w:r>
        <w:rPr>
          <w:rFonts w:cs="Tahoma" w:ascii="Arial Narrow" w:hAnsi="Arial Narrow"/>
          <w:sz w:val="16"/>
          <w:szCs w:val="16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Na temelju odredbe članka 72. Zakona o komunalnom gospodarstvu („Narodne novine“ broj 68/18 i 110/18, 32/20), i članka 39. Statuta Općine Mihovljan („Službeni glasnik Krapinsko-zagorske županije“ br. 5/13, 11/18,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6</w:t>
      </w:r>
      <w:r>
        <w:rPr>
          <w:rFonts w:cs="Tahoma" w:ascii="Arial Narrow" w:hAnsi="Arial Narrow"/>
          <w:sz w:val="22"/>
          <w:szCs w:val="22"/>
        </w:rPr>
        <w:t xml:space="preserve">. sjednici održanoj dana 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8</w:t>
      </w:r>
      <w:r>
        <w:rPr>
          <w:rFonts w:cs="Tahoma" w:ascii="Arial Narrow" w:hAnsi="Arial Narrow"/>
          <w:sz w:val="22"/>
          <w:szCs w:val="22"/>
        </w:rPr>
        <w:t xml:space="preserve">. studenog 2021. godine, donijelo je </w:t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</w:rPr>
        <w:t xml:space="preserve">PROGRAM GRAĐENJA OBJEKATA KOMUNALNE INFRASTRUKTURE </w:t>
      </w:r>
      <w:r>
        <w:rPr>
          <w:rFonts w:cs="Tahoma" w:ascii="Arial Narrow" w:hAnsi="Arial Narrow"/>
          <w:b/>
          <w:bCs/>
        </w:rPr>
        <w:t>UZ I. IZMJENE I DOPUNE PRORAČUNA ZA 2021. GODINU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2021. godini.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2021. godini raspoređuju se na sljedeće izvore financiranja: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9947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9"/>
        <w:gridCol w:w="3814"/>
        <w:gridCol w:w="1747"/>
        <w:gridCol w:w="1"/>
        <w:gridCol w:w="1712"/>
        <w:gridCol w:w="1"/>
        <w:gridCol w:w="1883"/>
      </w:tblGrid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 (kn)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240.000,00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240.000,00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20.000,00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1.020.887,88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468.731,68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-552.156,20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 ugovora, naknada i drugih izvora propisanih posebnim zakonom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IV.I. Pomoći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2.555.000,00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1.640.000,00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-115.000,00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Kreditno zaduženje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4.956.268,64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4.956.268,64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8.792.156,52 kn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7.325.000,00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667.152,20</w:t>
            </w:r>
          </w:p>
        </w:tc>
      </w:tr>
    </w:tbl>
    <w:p>
      <w:pPr>
        <w:pStyle w:val="Default"/>
        <w:rPr>
          <w:rFonts w:ascii="Arial Narrow" w:hAnsi="Arial Narrow"/>
          <w:b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rFonts w:ascii="Arial Narrow" w:hAnsi="Arial Narrow"/>
          <w:b/>
          <w:b/>
          <w:color w:val="auto"/>
        </w:rPr>
      </w:pPr>
      <w:r>
        <w:rPr>
          <w:rFonts w:ascii="Arial Narrow" w:hAnsi="Arial Narrow"/>
          <w:b/>
          <w:color w:val="auto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b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tbl>
      <w:tblPr>
        <w:tblStyle w:val="Reetkatablice"/>
        <w:tblW w:w="9696" w:type="dxa"/>
        <w:jc w:val="left"/>
        <w:tblInd w:w="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836"/>
        <w:gridCol w:w="1755"/>
        <w:gridCol w:w="1701"/>
        <w:gridCol w:w="1882"/>
      </w:tblGrid>
      <w:tr>
        <w:trPr>
          <w:trHeight w:val="397" w:hRule="atLeast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  <w:t xml:space="preserve">703.000,00 </w:t>
            </w:r>
            <w:bookmarkStart w:id="0" w:name="__DdeLink__5888_3111627231"/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>kn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>615.000,00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-78.000,00</w:t>
            </w:r>
          </w:p>
        </w:tc>
      </w:tr>
      <w:tr>
        <w:trPr/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22"/>
                <w:szCs w:val="22"/>
              </w:rPr>
              <w:t xml:space="preserve">5.625.500,00 </w:t>
            </w: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>kn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4.910.000,00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-715.500,00</w:t>
            </w:r>
          </w:p>
        </w:tc>
      </w:tr>
      <w:tr>
        <w:trPr/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  <w:t xml:space="preserve">266.000,00 </w:t>
            </w: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>kn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-266.000,00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               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  <w:t xml:space="preserve">2.194.000,00 </w:t>
            </w:r>
            <w:r>
              <w:rPr>
                <w:rFonts w:ascii="Arial narrow" w:hAnsi="Arial narrow"/>
                <w:b w:val="false"/>
                <w:bCs w:val="false"/>
                <w:color w:val="auto"/>
                <w:sz w:val="22"/>
                <w:szCs w:val="22"/>
              </w:rPr>
              <w:t>kn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</w:rPr>
              <w:t>1.800.000,00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-394.000,00</w:t>
            </w:r>
          </w:p>
        </w:tc>
      </w:tr>
    </w:tbl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6. groblja </w:t>
        <w:br/>
      </w:r>
    </w:p>
    <w:p>
      <w:pPr>
        <w:pStyle w:val="Normal"/>
        <w:jc w:val="both"/>
        <w:rPr/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9963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"/>
        <w:gridCol w:w="3158"/>
        <w:gridCol w:w="1213"/>
        <w:gridCol w:w="1"/>
        <w:gridCol w:w="1240"/>
        <w:gridCol w:w="3"/>
        <w:gridCol w:w="963"/>
        <w:gridCol w:w="1"/>
        <w:gridCol w:w="1"/>
        <w:gridCol w:w="1413"/>
        <w:gridCol w:w="1"/>
        <w:gridCol w:w="1"/>
        <w:gridCol w:w="1348"/>
      </w:tblGrid>
      <w:tr>
        <w:trPr>
          <w:trHeight w:val="397" w:hRule="atLeast"/>
        </w:trPr>
        <w:tc>
          <w:tcPr>
            <w:tcW w:w="7199" w:type="dxa"/>
            <w:gridSpan w:val="9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6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2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241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Izvori financiranja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Pozicija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350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6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1.1.</w:t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JAVNA RASVJETA</w:t>
            </w:r>
          </w:p>
        </w:tc>
        <w:tc>
          <w:tcPr>
            <w:tcW w:w="3421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49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Javna rasvjeta</w:t>
            </w:r>
          </w:p>
        </w:tc>
        <w:tc>
          <w:tcPr>
            <w:tcW w:w="3421" w:type="dxa"/>
            <w:gridSpan w:val="6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Nabava rasvjetnih tijela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43.000,00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I., III.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4214.62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43.000,00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7.000,00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3232.21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7.000,00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50.000,00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50.000,00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1.2.</w:t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NERAZVRSTANE CESTE</w:t>
            </w:r>
          </w:p>
        </w:tc>
        <w:tc>
          <w:tcPr>
            <w:tcW w:w="3421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49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Održavanje postojećih nerazvrstanih cesta na pod. Mihovljana</w:t>
            </w:r>
          </w:p>
        </w:tc>
        <w:tc>
          <w:tcPr>
            <w:tcW w:w="3421" w:type="dxa"/>
            <w:gridSpan w:val="6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 xml:space="preserve"> </w:t>
            </w:r>
            <w:r>
              <w:rPr>
                <w:rFonts w:cs="Tahoma" w:ascii="Arial narrow" w:hAnsi="Arial narrow"/>
              </w:rPr>
              <w:t>97.000,00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I.,II.,III.,IV.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4213.10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 xml:space="preserve"> </w:t>
            </w:r>
            <w:r>
              <w:rPr>
                <w:rFonts w:cs="Tahoma" w:ascii="Arial narrow" w:hAnsi="Arial narrow"/>
              </w:rPr>
              <w:t>97.000,00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 xml:space="preserve">   </w:t>
            </w:r>
            <w:r>
              <w:rPr>
                <w:rFonts w:cs="Tahoma" w:ascii="Arial narrow" w:hAnsi="Arial narrow"/>
              </w:rPr>
              <w:t>3.000,00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4213.10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 xml:space="preserve">   </w:t>
            </w:r>
            <w:r>
              <w:rPr>
                <w:rFonts w:cs="Tahoma" w:ascii="Arial narrow" w:hAnsi="Arial narrow"/>
              </w:rPr>
              <w:t>3.000,00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100.000,00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100.000,00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1.3.</w:t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ZELENE POVRŠINE</w:t>
            </w:r>
          </w:p>
        </w:tc>
        <w:tc>
          <w:tcPr>
            <w:tcW w:w="3421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49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Dječja igrališta sa igralima i spravama</w:t>
            </w:r>
          </w:p>
        </w:tc>
        <w:tc>
          <w:tcPr>
            <w:tcW w:w="3421" w:type="dxa"/>
            <w:gridSpan w:val="6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98.000,00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IV.I.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4214.98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-98.000,00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</w:t>
            </w:r>
            <w:r>
              <w:rPr>
                <w:rFonts w:cs="Tahoma" w:ascii="Arial narrow" w:hAnsi="Arial narrow"/>
              </w:rPr>
              <w:t>2.000,00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IV.I.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4214.98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 </w:t>
            </w:r>
            <w:r>
              <w:rPr>
                <w:rFonts w:cs="Tahoma" w:ascii="Arial narrow" w:hAnsi="Arial narrow"/>
                <w:b/>
              </w:rPr>
              <w:t>100.000,00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/>
        <w:tc>
          <w:tcPr>
            <w:tcW w:w="6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1.4.</w:t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PROMETNE POVRŠINE KOJIMA NIJE DOPUŠTEN PROMET MOTORNIM VOZILIMA</w:t>
            </w:r>
          </w:p>
        </w:tc>
        <w:tc>
          <w:tcPr>
            <w:tcW w:w="3421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49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Nogostup i oborinska odvodnja uz županijsku cestu ŽC2125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3421" w:type="dxa"/>
            <w:gridSpan w:val="6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100.000,00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</w:t>
            </w:r>
            <w:r>
              <w:rPr>
                <w:rFonts w:cs="Tahoma" w:ascii="Arial narrow" w:hAnsi="Arial narrow"/>
              </w:rPr>
              <w:t>3.000,00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103.000,00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-103.000,00</w:t>
            </w:r>
          </w:p>
        </w:tc>
      </w:tr>
      <w:tr>
        <w:trPr/>
        <w:tc>
          <w:tcPr>
            <w:tcW w:w="6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1.5.</w:t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GRAĐEVINE I UREĐAJI JAVNE NAMJENE</w:t>
            </w:r>
          </w:p>
        </w:tc>
        <w:tc>
          <w:tcPr>
            <w:tcW w:w="3421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49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Zemljište</w:t>
            </w:r>
          </w:p>
        </w:tc>
        <w:tc>
          <w:tcPr>
            <w:tcW w:w="3421" w:type="dxa"/>
            <w:gridSpan w:val="6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Otkup zemljišta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50.000,00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4111.91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50.000,00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125.000,00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75.000,00</w:t>
            </w:r>
          </w:p>
        </w:tc>
      </w:tr>
      <w:tr>
        <w:trPr/>
        <w:tc>
          <w:tcPr>
            <w:tcW w:w="6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3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Građevina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Otkup građevine</w:t>
            </w:r>
          </w:p>
        </w:tc>
        <w:tc>
          <w:tcPr>
            <w:tcW w:w="121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  <w:tc>
          <w:tcPr>
            <w:tcW w:w="963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15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140.000,00</w:t>
            </w:r>
          </w:p>
        </w:tc>
        <w:tc>
          <w:tcPr>
            <w:tcW w:w="1350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140.000,00</w:t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</w:rPr>
              <w:t>0,00</w:t>
            </w:r>
          </w:p>
        </w:tc>
        <w:tc>
          <w:tcPr>
            <w:tcW w:w="1415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140.000,00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140.000,00</w:t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3158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Projekti – izrada projekata i geodezija</w:t>
            </w:r>
          </w:p>
        </w:tc>
        <w:tc>
          <w:tcPr>
            <w:tcW w:w="3421" w:type="dxa"/>
            <w:gridSpan w:val="6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5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49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Izrada projekata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250.000,00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4126.10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Geodezija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50.000,00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6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4126.10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  <w:tc>
          <w:tcPr>
            <w:tcW w:w="135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300.000,00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200.000,00</w:t>
            </w:r>
          </w:p>
        </w:tc>
        <w:tc>
          <w:tcPr>
            <w:tcW w:w="13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>
          <w:trHeight w:val="340" w:hRule="atLeast"/>
        </w:trPr>
        <w:tc>
          <w:tcPr>
            <w:tcW w:w="619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315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3421" w:type="dxa"/>
            <w:gridSpan w:val="6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703.000,00</w:t>
            </w:r>
          </w:p>
        </w:tc>
        <w:tc>
          <w:tcPr>
            <w:tcW w:w="1415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615.000,00</w:t>
            </w:r>
          </w:p>
        </w:tc>
        <w:tc>
          <w:tcPr>
            <w:tcW w:w="1349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-78.000,00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tbl>
      <w:tblPr>
        <w:tblStyle w:val="Reetkatablice"/>
        <w:tblW w:w="9975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3"/>
        <w:gridCol w:w="2946"/>
        <w:gridCol w:w="1382"/>
        <w:gridCol w:w="1361"/>
        <w:gridCol w:w="965"/>
        <w:gridCol w:w="1"/>
        <w:gridCol w:w="1"/>
        <w:gridCol w:w="1478"/>
        <w:gridCol w:w="1"/>
        <w:gridCol w:w="1"/>
        <w:gridCol w:w="1295"/>
      </w:tblGrid>
      <w:tr>
        <w:trPr>
          <w:trHeight w:val="397" w:hRule="atLeast"/>
        </w:trPr>
        <w:tc>
          <w:tcPr>
            <w:tcW w:w="7199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29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4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38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3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Izvori financiranja</w:t>
            </w:r>
          </w:p>
        </w:tc>
        <w:tc>
          <w:tcPr>
            <w:tcW w:w="965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Pozicija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297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5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2.1.</w:t>
            </w:r>
          </w:p>
        </w:tc>
        <w:tc>
          <w:tcPr>
            <w:tcW w:w="29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GROBLJA</w:t>
            </w:r>
          </w:p>
        </w:tc>
        <w:tc>
          <w:tcPr>
            <w:tcW w:w="370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29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Groblje - asfaltiranje staza</w:t>
            </w:r>
          </w:p>
        </w:tc>
        <w:tc>
          <w:tcPr>
            <w:tcW w:w="370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58.200,00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4214.96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-58.200,00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1.800,00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4214.96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-1.800,00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60.000,00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-60.000,00</w:t>
            </w:r>
          </w:p>
        </w:tc>
      </w:tr>
      <w:tr>
        <w:trPr/>
        <w:tc>
          <w:tcPr>
            <w:tcW w:w="5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Groblje – izrada betonskih okvira na grobnim mjestima</w:t>
            </w:r>
          </w:p>
        </w:tc>
        <w:tc>
          <w:tcPr>
            <w:tcW w:w="3709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48.200,00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4214.95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-48.200,00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1.800,00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4214.95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-1.800,00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50.000,00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-50.000,00</w:t>
            </w:r>
          </w:p>
        </w:tc>
      </w:tr>
      <w:tr>
        <w:trPr/>
        <w:tc>
          <w:tcPr>
            <w:tcW w:w="5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2.2.</w:t>
            </w:r>
          </w:p>
        </w:tc>
        <w:tc>
          <w:tcPr>
            <w:tcW w:w="29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ZELENE POVRŠINE</w:t>
            </w:r>
          </w:p>
        </w:tc>
        <w:tc>
          <w:tcPr>
            <w:tcW w:w="370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29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Mrtvačnica Mihovljan – prostor oko Mrtvačnice</w:t>
            </w:r>
          </w:p>
        </w:tc>
        <w:tc>
          <w:tcPr>
            <w:tcW w:w="370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51.500,00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4214.94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-51.500,00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1.500,00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4214.94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-1.500,00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53.000,00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-53.000,00</w:t>
            </w:r>
          </w:p>
        </w:tc>
      </w:tr>
      <w:tr>
        <w:trPr/>
        <w:tc>
          <w:tcPr>
            <w:tcW w:w="5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2.3.</w:t>
            </w:r>
          </w:p>
        </w:tc>
        <w:tc>
          <w:tcPr>
            <w:tcW w:w="29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GRAĐEVINE I UREĐAJI JAVNE NAMJENE</w:t>
            </w:r>
          </w:p>
        </w:tc>
        <w:tc>
          <w:tcPr>
            <w:tcW w:w="370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29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Izgradnja Dječjeg vrtića u Mihovljanu</w:t>
            </w:r>
          </w:p>
        </w:tc>
        <w:tc>
          <w:tcPr>
            <w:tcW w:w="370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 i ostalo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4.323.750,00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II., V.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4212.31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4.033.750,00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-290.000,00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</w:t>
            </w:r>
            <w:r>
              <w:rPr>
                <w:rFonts w:cs="Tahoma" w:ascii="Arial narrow" w:hAnsi="Arial narrow"/>
              </w:rPr>
              <w:t>116.250,00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II., V.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4212.31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116.250,00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4.440.000,00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4.150.000,00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-290.000,00</w:t>
            </w:r>
          </w:p>
        </w:tc>
      </w:tr>
      <w:tr>
        <w:trPr/>
        <w:tc>
          <w:tcPr>
            <w:tcW w:w="5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29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Oprema za Dječji vrtić u Mihovljanu</w:t>
            </w:r>
          </w:p>
        </w:tc>
        <w:tc>
          <w:tcPr>
            <w:tcW w:w="3709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Nabava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812.500,00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II., V.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4221.93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650.000,00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-162.500,00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812.500,00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650.000,00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-162.500,00</w:t>
            </w:r>
          </w:p>
        </w:tc>
      </w:tr>
      <w:tr>
        <w:trPr/>
        <w:tc>
          <w:tcPr>
            <w:tcW w:w="5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2.4.</w:t>
            </w:r>
          </w:p>
        </w:tc>
        <w:tc>
          <w:tcPr>
            <w:tcW w:w="29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PROMETNE POVRŠINE KOJIMA NIJE DOPUŠTEN PROMET MOTORNIM VOZILIMA</w:t>
            </w:r>
          </w:p>
        </w:tc>
        <w:tc>
          <w:tcPr>
            <w:tcW w:w="370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29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Centar Mihovljana/kraj škole, vrtića, dj. igrališta i most</w:t>
            </w:r>
          </w:p>
        </w:tc>
        <w:tc>
          <w:tcPr>
            <w:tcW w:w="370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9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205.000,00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4214.91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</w:t>
            </w:r>
            <w:r>
              <w:rPr>
                <w:rFonts w:cs="Tahoma" w:ascii="Arial narrow" w:hAnsi="Arial narrow"/>
              </w:rPr>
              <w:t>5.000,00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4214.91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210.000,00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5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110.000,00</w:t>
            </w:r>
          </w:p>
        </w:tc>
        <w:tc>
          <w:tcPr>
            <w:tcW w:w="129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>
          <w:trHeight w:val="340" w:hRule="atLeast"/>
        </w:trPr>
        <w:tc>
          <w:tcPr>
            <w:tcW w:w="543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46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3709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5.625.500,00</w:t>
            </w:r>
          </w:p>
        </w:tc>
        <w:tc>
          <w:tcPr>
            <w:tcW w:w="1480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4.910.000,00</w:t>
            </w:r>
          </w:p>
        </w:tc>
        <w:tc>
          <w:tcPr>
            <w:tcW w:w="1296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-715.500,00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997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932"/>
        <w:gridCol w:w="1373"/>
        <w:gridCol w:w="1361"/>
        <w:gridCol w:w="963"/>
        <w:gridCol w:w="1"/>
        <w:gridCol w:w="2"/>
        <w:gridCol w:w="1301"/>
        <w:gridCol w:w="1"/>
        <w:gridCol w:w="2"/>
        <w:gridCol w:w="1472"/>
      </w:tblGrid>
      <w:tr>
        <w:trPr>
          <w:trHeight w:val="397" w:hRule="atLeast"/>
        </w:trPr>
        <w:tc>
          <w:tcPr>
            <w:tcW w:w="7198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293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37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3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Izvori financiranja</w:t>
            </w:r>
          </w:p>
        </w:tc>
        <w:tc>
          <w:tcPr>
            <w:tcW w:w="963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Pozicija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475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56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3.1.</w:t>
            </w:r>
          </w:p>
        </w:tc>
        <w:tc>
          <w:tcPr>
            <w:tcW w:w="29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ZELENE POVRŠINE</w:t>
            </w:r>
          </w:p>
        </w:tc>
        <w:tc>
          <w:tcPr>
            <w:tcW w:w="3698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30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74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Uređenje spomen obilježja, opločenje i horti. uređenje</w:t>
            </w:r>
          </w:p>
        </w:tc>
        <w:tc>
          <w:tcPr>
            <w:tcW w:w="3698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30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3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259.000,00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3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4214.62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7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-259.000,00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3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</w:t>
            </w:r>
            <w:r>
              <w:rPr>
                <w:rFonts w:cs="Tahoma" w:ascii="Arial narrow" w:hAnsi="Arial narrow"/>
              </w:rPr>
              <w:t>7.000,00</w:t>
            </w:r>
          </w:p>
        </w:tc>
        <w:tc>
          <w:tcPr>
            <w:tcW w:w="13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3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4214.62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7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-7.000,00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698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266.000,00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0,00</w:t>
            </w:r>
          </w:p>
        </w:tc>
        <w:tc>
          <w:tcPr>
            <w:tcW w:w="147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-266.000,00</w:t>
            </w:r>
          </w:p>
        </w:tc>
      </w:tr>
      <w:tr>
        <w:trPr>
          <w:trHeight w:val="340" w:hRule="atLeast"/>
        </w:trPr>
        <w:tc>
          <w:tcPr>
            <w:tcW w:w="566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32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3698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266.000,00</w:t>
            </w:r>
          </w:p>
        </w:tc>
        <w:tc>
          <w:tcPr>
            <w:tcW w:w="1304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0,00</w:t>
            </w:r>
          </w:p>
        </w:tc>
        <w:tc>
          <w:tcPr>
            <w:tcW w:w="1474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-266.000,00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996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971"/>
        <w:gridCol w:w="1410"/>
        <w:gridCol w:w="1303"/>
        <w:gridCol w:w="964"/>
        <w:gridCol w:w="1"/>
        <w:gridCol w:w="1481"/>
        <w:gridCol w:w="1"/>
        <w:gridCol w:w="1286"/>
      </w:tblGrid>
      <w:tr>
        <w:trPr>
          <w:trHeight w:val="397" w:hRule="atLeast"/>
        </w:trPr>
        <w:tc>
          <w:tcPr>
            <w:tcW w:w="7197" w:type="dxa"/>
            <w:gridSpan w:val="6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2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4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4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30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Izvori financiranja</w:t>
            </w:r>
          </w:p>
        </w:tc>
        <w:tc>
          <w:tcPr>
            <w:tcW w:w="964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Pozicija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28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5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4.1.</w:t>
            </w:r>
          </w:p>
        </w:tc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GROBLJA</w:t>
            </w:r>
          </w:p>
        </w:tc>
        <w:tc>
          <w:tcPr>
            <w:tcW w:w="367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287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Rekonstrukcija krova na Mrtvačnici u Mihovljanu</w:t>
            </w:r>
          </w:p>
        </w:tc>
        <w:tc>
          <w:tcPr>
            <w:tcW w:w="367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28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125.000,00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4214.93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105.000,00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</w:t>
            </w:r>
            <w:r>
              <w:rPr>
                <w:rFonts w:cs="Tahoma" w:ascii="Arial narrow" w:hAnsi="Arial narrow"/>
              </w:rPr>
              <w:t>5.000,00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4214.93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5.000,00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110.000,00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-20.000,00</w:t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Oprema za mrtvačnicu</w:t>
            </w:r>
          </w:p>
        </w:tc>
        <w:tc>
          <w:tcPr>
            <w:tcW w:w="367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Nabava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</w:t>
            </w:r>
            <w:r>
              <w:rPr>
                <w:rFonts w:cs="Tahoma" w:ascii="Arial narrow" w:hAnsi="Arial narrow"/>
              </w:rPr>
              <w:t>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4221.93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30.000,00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 </w:t>
            </w:r>
            <w:r>
              <w:rPr>
                <w:rFonts w:cs="Tahoma" w:ascii="Arial narrow" w:hAnsi="Arial narrow"/>
                <w:b/>
              </w:rPr>
              <w:t>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30.000,00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4.2.</w:t>
            </w:r>
          </w:p>
        </w:tc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GRAĐEVINE I UREĐAJI JAVNE NAMJENE</w:t>
            </w:r>
          </w:p>
        </w:tc>
        <w:tc>
          <w:tcPr>
            <w:tcW w:w="367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  <w:tc>
          <w:tcPr>
            <w:tcW w:w="1287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Rekonstrukcija Društvenog doma u Mihovljanu </w:t>
            </w:r>
          </w:p>
        </w:tc>
        <w:tc>
          <w:tcPr>
            <w:tcW w:w="367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100.000,00 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4214.92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297.000,00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</w:t>
            </w:r>
            <w:r>
              <w:rPr>
                <w:rFonts w:cs="Tahoma" w:ascii="Arial narrow" w:hAnsi="Arial narrow"/>
              </w:rPr>
              <w:t>3.000,00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4214.92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3.000,00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103.000,00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300.000,00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197.000,00</w:t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Športske prostorije u općinskoj zgradi Mihovljan</w:t>
            </w:r>
          </w:p>
        </w:tc>
        <w:tc>
          <w:tcPr>
            <w:tcW w:w="367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4214.97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</w:t>
            </w:r>
            <w:r>
              <w:rPr>
                <w:rFonts w:cs="Tahoma" w:ascii="Arial narrow" w:hAnsi="Arial narrow"/>
              </w:rPr>
              <w:t>3.000,00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4214.97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103.000,00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-103.000,00</w:t>
            </w:r>
          </w:p>
        </w:tc>
      </w:tr>
      <w:tr>
        <w:trPr/>
        <w:tc>
          <w:tcPr>
            <w:tcW w:w="5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4.3.</w:t>
            </w:r>
          </w:p>
        </w:tc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NERAZVRSTANE CESTE</w:t>
            </w:r>
          </w:p>
        </w:tc>
        <w:tc>
          <w:tcPr>
            <w:tcW w:w="367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  <w:tc>
          <w:tcPr>
            <w:tcW w:w="1287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Održavanje postojećih nerazvrstanih cesta na pod. Mihovljana</w:t>
            </w:r>
          </w:p>
        </w:tc>
        <w:tc>
          <w:tcPr>
            <w:tcW w:w="367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1.030.000,00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FF0000"/>
              </w:rPr>
            </w:pPr>
            <w:r>
              <w:rPr>
                <w:rFonts w:cs="Tahoma" w:ascii="Arial narrow" w:hAnsi="Arial narrow"/>
                <w:b/>
              </w:rPr>
              <w:t>I.,II.,III.,IV.I.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4213.10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1.280.000,00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   </w:t>
            </w:r>
            <w:r>
              <w:rPr>
                <w:rFonts w:cs="Tahoma" w:ascii="Arial narrow" w:hAnsi="Arial narrow"/>
              </w:rPr>
              <w:t>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4213.10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30.000,00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1.060.000,00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FF0000"/>
              </w:rPr>
            </w:pPr>
            <w:r>
              <w:rPr>
                <w:rFonts w:cs="Tahoma" w:ascii="Arial narrow" w:hAnsi="Arial narrow"/>
                <w:b/>
                <w:color w:val="FF0000"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FF0000"/>
              </w:rPr>
            </w:pPr>
            <w:r>
              <w:rPr>
                <w:rFonts w:cs="Tahoma" w:ascii="Arial narrow" w:hAnsi="Arial narrow"/>
                <w:b/>
                <w:color w:val="FF0000"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1.310.000,00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250.000,00</w:t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Sanacija klizišta u naselju Mihovljan</w:t>
            </w:r>
          </w:p>
        </w:tc>
        <w:tc>
          <w:tcPr>
            <w:tcW w:w="367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Glavni projekt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4214.98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-30.000,00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630.000,00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III., IV.I.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4214.98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-630.000,00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Nadzor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18.000,00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4214.98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-18.000,00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718.000,00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  <w:t>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-718.000,00</w:t>
            </w:r>
          </w:p>
        </w:tc>
      </w:tr>
      <w:tr>
        <w:trPr/>
        <w:tc>
          <w:tcPr>
            <w:tcW w:w="5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4.4.</w:t>
            </w:r>
          </w:p>
        </w:tc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JAVNA RASVJETA</w:t>
            </w:r>
          </w:p>
        </w:tc>
        <w:tc>
          <w:tcPr>
            <w:tcW w:w="367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482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  <w:tc>
          <w:tcPr>
            <w:tcW w:w="1287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29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Javna rasvjeta</w:t>
            </w:r>
          </w:p>
        </w:tc>
        <w:tc>
          <w:tcPr>
            <w:tcW w:w="367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8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128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Nabava rasvjetnih tijela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43.000,00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4214.62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43.000,00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Izvođenje radova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  </w:t>
            </w:r>
            <w:r>
              <w:rPr>
                <w:rFonts w:cs="Tahoma" w:ascii="Arial narrow" w:hAnsi="Arial narrow"/>
              </w:rPr>
              <w:t>7.000,00</w:t>
            </w:r>
          </w:p>
        </w:tc>
        <w:tc>
          <w:tcPr>
            <w:tcW w:w="1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I.</w:t>
            </w:r>
          </w:p>
        </w:tc>
        <w:tc>
          <w:tcPr>
            <w:tcW w:w="96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4214.62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7.000,00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UKUPNO:</w:t>
            </w:r>
          </w:p>
        </w:tc>
        <w:tc>
          <w:tcPr>
            <w:tcW w:w="3677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50.000,00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50.000,00</w:t>
            </w:r>
          </w:p>
        </w:tc>
        <w:tc>
          <w:tcPr>
            <w:tcW w:w="12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4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971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3677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2.194.000,00 </w:t>
            </w:r>
          </w:p>
        </w:tc>
        <w:tc>
          <w:tcPr>
            <w:tcW w:w="1482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1.800.000,00</w:t>
            </w:r>
          </w:p>
        </w:tc>
        <w:tc>
          <w:tcPr>
            <w:tcW w:w="1287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-394.000,00</w:t>
            </w:r>
          </w:p>
        </w:tc>
      </w:tr>
    </w:tbl>
    <w:p>
      <w:pPr>
        <w:pStyle w:val="Normal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IV. ZAKLJUČNE ODREDBE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>Članak 5.</w:t>
      </w:r>
    </w:p>
    <w:p>
      <w:pPr>
        <w:pStyle w:val="Normal"/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Svi radovi na objektima i uređajima komunalne infrastrukture izvoditi će se prema prioritetima koje utvrdi Općinski načelnik.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6.</w:t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0"/>
          <w:szCs w:val="20"/>
        </w:rPr>
        <w:tab/>
      </w:r>
      <w:r>
        <w:rPr>
          <w:rFonts w:cs="Tahoma" w:ascii="Arial Narrow" w:hAnsi="Arial Narrow"/>
          <w:szCs w:val="20"/>
        </w:rPr>
        <w:t>Ovaj Program građenja objekata komunalne infrastrukture uz I. izmjene i dopune Proračuna Općine Mihovljan u  2021. godini objaviti će se u Službenom glasniku Krapinsko – zagorske županije.</w:t>
      </w:r>
    </w:p>
    <w:p>
      <w:pPr>
        <w:pStyle w:val="Normal"/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ind w:left="6372" w:hanging="0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ind w:left="6372" w:hanging="0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ind w:left="6372" w:hanging="0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 xml:space="preserve">  </w:t>
      </w:r>
      <w:r>
        <w:rPr>
          <w:rFonts w:cs="Tahoma" w:ascii="Arial Narrow" w:hAnsi="Arial Narrow"/>
          <w:sz w:val="20"/>
          <w:szCs w:val="20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  <w:sz w:val="20"/>
          <w:szCs w:val="20"/>
        </w:rPr>
        <w:tab/>
        <w:tab/>
        <w:tab/>
        <w:tab/>
        <w:tab/>
        <w:tab/>
        <w:tab/>
        <w:tab/>
        <w:t xml:space="preserve">              mr.Silvestar Vučković dr.vet.med</w:t>
      </w:r>
    </w:p>
    <w:p>
      <w:pPr>
        <w:pStyle w:val="Normal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76"/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14"/>
          <w:szCs w:val="14"/>
        </w:rPr>
        <w:t xml:space="preserve">Ministarstvo financija, Katančićeva 5, 10000 Zagreb, </w:t>
      </w:r>
      <w:hyperlink r:id="rId3">
        <w:r>
          <w:rPr>
            <w:rStyle w:val="ListLabel4"/>
            <w:rFonts w:cs="Tahoma" w:ascii="Arial Narrow" w:hAnsi="Arial Narrow"/>
            <w:color w:val="0000FF" w:themeColor="hyperlink"/>
            <w:sz w:val="14"/>
            <w:szCs w:val="14"/>
            <w:u w:val="single"/>
          </w:rPr>
          <w:t>lokalni.proracuni@mfin.hr</w:t>
        </w:r>
      </w:hyperlink>
      <w:r>
        <w:rPr>
          <w:rFonts w:cs="Tahoma" w:ascii="Arial Narrow" w:hAnsi="Arial Narrow"/>
          <w:sz w:val="14"/>
          <w:szCs w:val="14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4"/>
          <w:szCs w:val="14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14"/>
          <w:szCs w:val="14"/>
        </w:rPr>
        <w:t>Prilog zapisniku, Pismohrana.</w:t>
      </w:r>
    </w:p>
    <w:sectPr>
      <w:type w:val="nextPage"/>
      <w:pgSz w:w="11906" w:h="16838"/>
      <w:pgMar w:left="1077" w:right="849" w:gutter="0" w:header="0" w:top="0" w:footer="0" w:bottom="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Estrangelo Edess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TijelotekstaChar">
    <w:name w:val="Tijelo teksta Char"/>
    <w:basedOn w:val="DefaultParagraphFont"/>
    <w:qFormat/>
    <w:rPr>
      <w:rFonts w:ascii="Estrangelo Edessa" w:hAnsi="Estrangelo Edessa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qFormat/>
    <w:rPr>
      <w:color w:val="80000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LibreOffice/7.2.2.2$Windows_X86_64 LibreOffice_project/02b2acce88a210515b4a5bb2e46cbfb63fe97d56</Application>
  <AppVersion>15.0000</AppVersion>
  <DocSecurity>0</DocSecurity>
  <Pages>5</Pages>
  <Words>1307</Words>
  <Characters>8900</Characters>
  <CharactersWithSpaces>9889</CharactersWithSpaces>
  <Paragraphs>548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2020-12-23T12:35:00Z</dcterms:created>
  <dc:creator>URED-PC</dc:creator>
  <dc:description/>
  <dc:language>hr-HR</dc:language>
  <cp:lastModifiedBy/>
  <cp:lastPrinted>2021-11-04T13:16:38Z</cp:lastPrinted>
  <dcterms:modified xsi:type="dcterms:W3CDTF">2021-11-23T09:38:52Z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