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774" w:type="dxa"/>
        <w:jc w:val="left"/>
        <w:tblInd w:w="-25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957"/>
        <w:gridCol w:w="4816"/>
      </w:tblGrid>
      <w:tr>
        <w:trPr/>
        <w:tc>
          <w:tcPr>
            <w:tcW w:w="3957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Tahoma" w:hAnsi="Tahoma" w:cs="Tahoma"/>
                <w:b/>
                <w:b/>
                <w:bCs/>
                <w:sz w:val="20"/>
              </w:rPr>
            </w:pPr>
            <w:r>
              <w:rPr/>
              <w:drawing>
                <wp:inline distT="0" distB="0" distL="0" distR="0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REPUBLIKA HRVATSKA</w:t>
            </w:r>
          </w:p>
          <w:p>
            <w:pPr>
              <w:pStyle w:val="Normal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KRAPINSKO - ZAGORSKA ŽUPANIJA</w:t>
            </w:r>
          </w:p>
          <w:p>
            <w:pPr>
              <w:pStyle w:val="Stilnaslova1"/>
              <w:spacing w:lineRule="auto" w:lin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OPĆINA MIHOVLJAN</w:t>
            </w:r>
          </w:p>
          <w:p>
            <w:pPr>
              <w:pStyle w:val="Normal"/>
              <w:jc w:val="center"/>
              <w:rPr>
                <w:rFonts w:ascii="Tahoma" w:hAnsi="Tahoma" w:cs="Tahoma"/>
                <w:b/>
                <w:b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OPĆINSKO VIJEĆE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ahoma" w:hAnsi="Tahoma" w:cs="Tahoma"/>
                <w:b/>
                <w:b/>
                <w:lang w:eastAsia="en-US"/>
              </w:rPr>
            </w:pPr>
            <w:r>
              <w:rPr>
                <w:rFonts w:cs="Tahoma" w:ascii="Tahoma" w:hAnsi="Tahoma"/>
                <w:b/>
                <w:lang w:eastAsia="en-US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  <w:b/>
                <w:b/>
                <w:lang w:eastAsia="en-US"/>
              </w:rPr>
            </w:pPr>
            <w:r>
              <w:rPr>
                <w:rFonts w:cs="Tahoma" w:ascii="Tahoma" w:hAnsi="Tahoma"/>
                <w:b/>
                <w:lang w:eastAsia="en-US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  <w:b/>
                <w:b/>
                <w:lang w:eastAsia="en-US"/>
              </w:rPr>
            </w:pPr>
            <w:r>
              <w:rPr>
                <w:rFonts w:cs="Tahoma" w:ascii="Tahoma" w:hAnsi="Tahoma"/>
                <w:b/>
                <w:lang w:eastAsia="en-US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  <w:b/>
                <w:b/>
                <w:u w:val="single"/>
                <w:lang w:eastAsia="en-US"/>
              </w:rPr>
            </w:pPr>
            <w:r>
              <w:rPr>
                <w:rFonts w:cs="Tahoma" w:ascii="Tahoma" w:hAnsi="Tahoma"/>
                <w:b/>
                <w:u w:val="single"/>
                <w:lang w:eastAsia="en-US"/>
              </w:rPr>
            </w:r>
          </w:p>
        </w:tc>
      </w:tr>
    </w:tbl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/>
      </w:pPr>
      <w:r>
        <w:rPr>
          <w:rFonts w:cs="Tahoma" w:ascii="Arial Narrow" w:hAnsi="Arial Narrow"/>
        </w:rPr>
        <w:t>KLASA: 350-0</w:t>
      </w:r>
      <w:r>
        <w:rPr>
          <w:rFonts w:cs="Tahoma" w:ascii="Arial Narrow" w:hAnsi="Arial Narrow"/>
        </w:rPr>
        <w:t>1</w:t>
      </w:r>
      <w:r>
        <w:rPr>
          <w:rFonts w:cs="Tahoma" w:ascii="Arial Narrow" w:hAnsi="Arial Narrow"/>
        </w:rPr>
        <w:t>/21-01/</w:t>
      </w:r>
      <w:r>
        <w:rPr>
          <w:rFonts w:cs="Tahoma" w:ascii="Arial Narrow" w:hAnsi="Arial Narrow"/>
        </w:rPr>
        <w:t>01</w:t>
      </w:r>
    </w:p>
    <w:p>
      <w:pPr>
        <w:pStyle w:val="Normal"/>
        <w:rPr/>
      </w:pPr>
      <w:r>
        <w:rPr>
          <w:rFonts w:cs="Tahoma" w:ascii="Arial Narrow" w:hAnsi="Arial Narrow"/>
        </w:rPr>
        <w:t>URBROJ: 2211/07-21-</w:t>
      </w:r>
      <w:r>
        <w:rPr>
          <w:rFonts w:cs="Tahoma" w:ascii="Arial Narrow" w:hAnsi="Arial Narrow"/>
        </w:rPr>
        <w:t>02</w:t>
      </w:r>
    </w:p>
    <w:p>
      <w:pPr>
        <w:pStyle w:val="Normal"/>
        <w:rPr/>
      </w:pPr>
      <w:r>
        <w:rPr>
          <w:rFonts w:cs="Tahoma" w:ascii="Arial Narrow" w:hAnsi="Arial Narrow"/>
        </w:rPr>
        <w:t>Mihovljan, 21. prosinca 2021.</w:t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jc w:val="both"/>
        <w:rPr/>
      </w:pPr>
      <w:r>
        <w:rPr>
          <w:rFonts w:cs="Tahoma" w:ascii="Arial Narrow" w:hAnsi="Arial Narrow"/>
        </w:rPr>
        <w:t>Na temelju članka 31. stavka 2. Zakona o postupanju s nezakonito izgrađenim zgradama ("Narodne novine" broj 86/12, 143/13, 65/17 i 14/19) i članka 39. Statuta Općine Mihovljan (“Službeni glasnik Krapinsko-zagorske županije” 05/13, 11/18, 8/20, 8/21), Općinsko vijeće Općine Mihovljan na svojoj 8. sjednici održanoj dana 21</w:t>
      </w:r>
      <w:r>
        <w:rPr>
          <w:rFonts w:cs="Tahoma" w:ascii="Arial Narrow" w:hAnsi="Arial Narrow"/>
          <w:szCs w:val="20"/>
        </w:rPr>
        <w:t>. prosinca 2021.,</w:t>
      </w:r>
      <w:r>
        <w:rPr>
          <w:rFonts w:cs="Tahoma" w:ascii="Arial Narrow" w:hAnsi="Arial Narrow"/>
        </w:rPr>
        <w:t xml:space="preserve"> godine, donijelo je </w:t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jc w:val="center"/>
        <w:rPr/>
      </w:pPr>
      <w:r>
        <w:rPr>
          <w:rFonts w:cs="Tahoma" w:ascii="Arial Narrow" w:hAnsi="Arial Narrow"/>
          <w:b/>
        </w:rPr>
        <w:t>PROGRAM UTROŠKA SREDSTAVA ZA 2022. GODINU OD NAKNADA ZA ZADRŽAVANJE NEZAKONITO IZGRAĐENIH ZGRADA U PROSTORU</w:t>
      </w:r>
    </w:p>
    <w:p>
      <w:pPr>
        <w:pStyle w:val="Normal"/>
        <w:jc w:val="center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  <w:t>Članak 1.</w:t>
      </w:r>
    </w:p>
    <w:p>
      <w:pPr>
        <w:pStyle w:val="Normal"/>
        <w:jc w:val="both"/>
        <w:rPr/>
      </w:pPr>
      <w:r>
        <w:rPr>
          <w:rFonts w:cs="Tahoma" w:ascii="Arial Narrow" w:hAnsi="Arial Narrow"/>
        </w:rPr>
        <w:tab/>
        <w:t>Prihod Proračuna Općine Mihovljan za 2022. godinu  od naknada za zadržavanje nezakonito izgrađenih zgrada u prostoru, a kao 30% ukupnog iznosa sredstava, planiran je iznos od 8.000,00kn.</w:t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  <w:t>Članak 2.</w:t>
      </w:r>
    </w:p>
    <w:p>
      <w:pPr>
        <w:pStyle w:val="Normal"/>
        <w:jc w:val="both"/>
        <w:rPr/>
      </w:pPr>
      <w:r>
        <w:rPr>
          <w:rFonts w:cs="Tahoma" w:ascii="Arial Narrow" w:hAnsi="Arial Narrow"/>
        </w:rPr>
        <w:tab/>
        <w:t>Ostvareni prihod od naknada za zadržavanje nezakonito izgrađenih zgrada u prostoru utrošit će se za financiranje održavanja i poboljšanja komunalne infrastrukture područja Općine Mihovljan na sljedeći način:</w:t>
      </w:r>
    </w:p>
    <w:tbl>
      <w:tblPr>
        <w:tblStyle w:val="Reetkatablice"/>
        <w:tblW w:w="906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5"/>
        <w:gridCol w:w="3840"/>
        <w:gridCol w:w="1543"/>
        <w:gridCol w:w="1894"/>
        <w:gridCol w:w="960"/>
      </w:tblGrid>
      <w:tr>
        <w:trPr>
          <w:trHeight w:val="397" w:hRule="atLeast"/>
        </w:trPr>
        <w:tc>
          <w:tcPr>
            <w:tcW w:w="9062" w:type="dxa"/>
            <w:gridSpan w:val="5"/>
            <w:tcBorders/>
            <w:shd w:color="auto" w:fill="D9D9D9" w:themeFill="background1" w:themeFillShade="d9" w:val="clear"/>
          </w:tcPr>
          <w:p>
            <w:pPr>
              <w:pStyle w:val="Normal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Tahoma" w:ascii="Arial Narrow" w:hAnsi="Arial Narrow" w:eastAsiaTheme="minorHAnsi"/>
                <w:b/>
                <w:szCs w:val="22"/>
                <w:lang w:eastAsia="en-US"/>
              </w:rPr>
              <w:t>PROGRAM UTROŠKA SREDSTAVA ZA 2022. GODINU OD NAKNADA ZA ZADRŽAVANJE NEZAKONITO IZGRAĐENIH ZGRADA U PROSTORU</w:t>
            </w:r>
          </w:p>
        </w:tc>
      </w:tr>
      <w:tr>
        <w:trPr>
          <w:trHeight w:val="397" w:hRule="atLeast"/>
        </w:trPr>
        <w:tc>
          <w:tcPr>
            <w:tcW w:w="82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eastAsia="Calibri" w:cs="" w:ascii="Arial Narrow" w:hAnsi="Arial Narrow" w:cstheme="minorBidi" w:eastAsiaTheme="minorHAnsi"/>
                <w:b/>
                <w:szCs w:val="22"/>
                <w:lang w:eastAsia="en-US"/>
              </w:rPr>
              <w:t>red.br.</w:t>
            </w:r>
          </w:p>
        </w:tc>
        <w:tc>
          <w:tcPr>
            <w:tcW w:w="384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eastAsia="Calibri" w:cs="Tahoma" w:ascii="Arial Narrow" w:hAnsi="Arial Narrow" w:eastAsiaTheme="minorHAnsi"/>
                <w:b/>
                <w:szCs w:val="22"/>
                <w:lang w:eastAsia="en-US"/>
              </w:rPr>
              <w:t>Opis</w:t>
            </w:r>
          </w:p>
        </w:tc>
        <w:tc>
          <w:tcPr>
            <w:tcW w:w="1543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eastAsia="Calibri" w:cs="" w:ascii="Arial Narrow" w:hAnsi="Arial Narrow" w:cstheme="minorBidi" w:eastAsiaTheme="minorHAnsi"/>
                <w:b/>
                <w:szCs w:val="22"/>
                <w:lang w:eastAsia="en-US"/>
              </w:rPr>
              <w:t>Planirano ukupno (kn)</w:t>
            </w:r>
          </w:p>
        </w:tc>
        <w:tc>
          <w:tcPr>
            <w:tcW w:w="189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eastAsia="Calibri" w:cs="Tahoma" w:ascii="Arial Narrow" w:hAnsi="Arial Narrow" w:eastAsiaTheme="minorHAnsi"/>
                <w:b/>
                <w:szCs w:val="22"/>
                <w:lang w:eastAsia="en-US"/>
              </w:rPr>
              <w:t>Izvori financiranja</w:t>
            </w:r>
          </w:p>
        </w:tc>
        <w:tc>
          <w:tcPr>
            <w:tcW w:w="9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eastAsia="Calibri" w:cs="Tahoma" w:ascii="Arial Narrow" w:hAnsi="Arial Narrow" w:eastAsiaTheme="minorHAnsi"/>
                <w:b/>
                <w:szCs w:val="22"/>
                <w:lang w:eastAsia="en-US"/>
              </w:rPr>
              <w:t>Pozicija</w:t>
            </w:r>
          </w:p>
        </w:tc>
      </w:tr>
      <w:tr>
        <w:trPr/>
        <w:tc>
          <w:tcPr>
            <w:tcW w:w="825" w:type="dxa"/>
            <w:tcBorders/>
            <w:shd w:color="auto" w:fill="F2F2F2" w:themeFill="background1" w:themeFillShade="f2" w:val="clear"/>
            <w:vAlign w:val="bottom"/>
          </w:tcPr>
          <w:p>
            <w:pPr>
              <w:pStyle w:val="Normal"/>
              <w:jc w:val="right"/>
              <w:rPr>
                <w:rFonts w:ascii="Arial Narrow" w:hAnsi="Arial Narrow" w:cs="Tahoma"/>
              </w:rPr>
            </w:pPr>
            <w:r>
              <w:rPr>
                <w:rFonts w:eastAsia="Calibri" w:cs="Tahoma" w:ascii="Arial Narrow" w:hAnsi="Arial Narrow" w:eastAsiaTheme="minorHAnsi"/>
                <w:szCs w:val="22"/>
                <w:lang w:eastAsia="en-US"/>
              </w:rPr>
              <w:t>a)</w:t>
            </w:r>
          </w:p>
        </w:tc>
        <w:tc>
          <w:tcPr>
            <w:tcW w:w="8237" w:type="dxa"/>
            <w:gridSpan w:val="4"/>
            <w:tcBorders/>
            <w:shd w:color="auto" w:fill="F2F2F2" w:themeFill="background1" w:themeFillShade="f2" w:val="clear"/>
            <w:vAlign w:val="bottom"/>
          </w:tcPr>
          <w:p>
            <w:pPr>
              <w:pStyle w:val="Normal"/>
              <w:jc w:val="both"/>
              <w:rPr>
                <w:rFonts w:ascii="Arial Narrow" w:hAnsi="Arial Narrow" w:cs="Tahoma"/>
              </w:rPr>
            </w:pPr>
            <w:r>
              <w:rPr>
                <w:rFonts w:eastAsia="Calibri" w:cs="Tahoma" w:ascii="Arial Narrow" w:hAnsi="Arial Narrow" w:eastAsiaTheme="minorHAnsi"/>
                <w:szCs w:val="22"/>
                <w:lang w:eastAsia="en-US"/>
              </w:rPr>
              <w:t xml:space="preserve">Zagorski vodovod doo – suf. izgradnje komunalne vodne građevine </w:t>
            </w:r>
          </w:p>
        </w:tc>
      </w:tr>
      <w:tr>
        <w:trPr/>
        <w:tc>
          <w:tcPr>
            <w:tcW w:w="825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 Narrow" w:hAnsi="Arial Narrow" w:eastAsia="Calibri" w:cs="Tahoma" w:eastAsiaTheme="minorHAnsi"/>
                <w:b/>
                <w:b/>
                <w:szCs w:val="22"/>
                <w:lang w:eastAsia="en-US"/>
              </w:rPr>
            </w:pPr>
            <w:r>
              <w:rPr>
                <w:rFonts w:eastAsia="Calibri" w:cs="Tahoma" w:eastAsiaTheme="minorHAnsi" w:ascii="Arial Narrow" w:hAnsi="Arial Narrow"/>
                <w:b/>
                <w:szCs w:val="22"/>
                <w:lang w:eastAsia="en-US"/>
              </w:rPr>
            </w:r>
          </w:p>
        </w:tc>
        <w:tc>
          <w:tcPr>
            <w:tcW w:w="3840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 Narrow" w:hAnsi="Arial Narrow" w:cs="Tahoma"/>
              </w:rPr>
            </w:pPr>
            <w:r>
              <w:rPr>
                <w:rFonts w:eastAsia="Calibri" w:cs="Tahoma" w:ascii="Arial Narrow" w:hAnsi="Arial Narrow" w:eastAsiaTheme="minorHAnsi"/>
                <w:szCs w:val="22"/>
                <w:lang w:eastAsia="en-US"/>
              </w:rPr>
              <w:t>Sufinanciranje izgradnje vodovodne mreže za visoke zone kojima trenutno nije omogućena prikladna vodoopskrba</w:t>
            </w:r>
          </w:p>
        </w:tc>
        <w:tc>
          <w:tcPr>
            <w:tcW w:w="1543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Tahoma" w:ascii="Arial Narrow" w:hAnsi="Arial Narrow" w:eastAsiaTheme="minorHAnsi"/>
                <w:b/>
                <w:szCs w:val="22"/>
                <w:lang w:eastAsia="en-US"/>
              </w:rPr>
              <w:t>8.000,00</w:t>
            </w:r>
          </w:p>
        </w:tc>
        <w:tc>
          <w:tcPr>
            <w:tcW w:w="1894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eastAsia="Calibri" w:cs="Tahoma" w:ascii="Arial Narrow" w:hAnsi="Arial Narrow" w:eastAsiaTheme="minorHAnsi"/>
                <w:sz w:val="20"/>
                <w:szCs w:val="20"/>
                <w:lang w:eastAsia="en-US"/>
              </w:rPr>
              <w:t>30% Naknade za zadržavanje nezakonito izgrađenih zgrada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Arial Narrow" w:hAnsi="Arial Narrow" w:eastAsia="Calibri" w:cs="Tahoma" w:eastAsiaTheme="minorHAnsi"/>
                <w:szCs w:val="22"/>
                <w:lang w:eastAsia="en-US"/>
              </w:rPr>
            </w:pPr>
            <w:r>
              <w:rPr>
                <w:rFonts w:eastAsia="Calibri" w:cs="Tahoma" w:ascii="Arial Narrow" w:hAnsi="Arial Narrow" w:eastAsiaTheme="minorHAnsi"/>
                <w:szCs w:val="22"/>
                <w:lang w:eastAsia="en-US"/>
              </w:rPr>
              <w:t>3861.21</w:t>
            </w:r>
          </w:p>
        </w:tc>
      </w:tr>
      <w:tr>
        <w:trPr/>
        <w:tc>
          <w:tcPr>
            <w:tcW w:w="825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Arial Narrow" w:hAnsi="Arial Narrow" w:eastAsia="Calibri" w:cs="Tahoma" w:eastAsiaTheme="minorHAnsi"/>
                <w:b/>
                <w:b/>
                <w:szCs w:val="22"/>
                <w:lang w:eastAsia="en-US"/>
              </w:rPr>
            </w:pPr>
            <w:r>
              <w:rPr>
                <w:rFonts w:eastAsia="Calibri" w:cs="Tahoma" w:eastAsiaTheme="minorHAnsi" w:ascii="Arial Narrow" w:hAnsi="Arial Narrow"/>
                <w:b/>
                <w:szCs w:val="22"/>
                <w:lang w:eastAsia="en-US"/>
              </w:rPr>
            </w:r>
          </w:p>
        </w:tc>
        <w:tc>
          <w:tcPr>
            <w:tcW w:w="3840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eastAsia="Calibri" w:cs="Tahoma" w:ascii="Arial Narrow" w:hAnsi="Arial Narrow" w:eastAsiaTheme="minorHAnsi"/>
                <w:b/>
                <w:szCs w:val="22"/>
                <w:lang w:eastAsia="en-US"/>
              </w:rPr>
              <w:t>UKUPNO:</w:t>
            </w:r>
          </w:p>
        </w:tc>
        <w:tc>
          <w:tcPr>
            <w:tcW w:w="4397" w:type="dxa"/>
            <w:gridSpan w:val="3"/>
            <w:tcBorders/>
            <w:shd w:fill="auto" w:val="clear"/>
          </w:tcPr>
          <w:p>
            <w:pPr>
              <w:pStyle w:val="Normal"/>
              <w:jc w:val="both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Tahoma" w:ascii="Arial Narrow" w:hAnsi="Arial Narrow" w:eastAsiaTheme="minorHAnsi"/>
                <w:b/>
                <w:szCs w:val="22"/>
                <w:lang w:eastAsia="en-US"/>
              </w:rPr>
              <w:t>8.000,00</w:t>
            </w:r>
          </w:p>
        </w:tc>
      </w:tr>
    </w:tbl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  <w:t>Članak 3.</w:t>
      </w:r>
    </w:p>
    <w:p>
      <w:pPr>
        <w:pStyle w:val="Normal"/>
        <w:ind w:firstLine="708"/>
        <w:jc w:val="both"/>
        <w:rPr/>
      </w:pPr>
      <w:r>
        <w:rPr>
          <w:rFonts w:cs="Tahoma" w:ascii="Arial Narrow" w:hAnsi="Arial Narrow"/>
        </w:rPr>
        <w:t xml:space="preserve">Ovaj Program utroška sredstava za 2022. godinu od naknade za zadržavanje nezakonito izgrađenih zgrada u prostoru </w:t>
      </w:r>
      <w:r>
        <w:rPr>
          <w:rFonts w:cs="Tahoma" w:ascii="Arial Narrow" w:hAnsi="Arial Narrow"/>
          <w:szCs w:val="20"/>
        </w:rPr>
        <w:t>objaviti će se u Službenom glasniku Krapinsko – zagorske županije, a primjenjuje se od 01. siječnja 2022. godine.</w:t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rPr>
          <w:rFonts w:ascii="Arial Narrow" w:hAnsi="Arial Narrow" w:cs="Tahoma"/>
        </w:rPr>
      </w:pPr>
      <w:r>
        <w:rPr>
          <w:rFonts w:cs="Tahoma" w:ascii="Arial Narrow" w:hAnsi="Arial Narrow"/>
        </w:rPr>
        <w:t xml:space="preserve">                                                                                                           </w:t>
      </w:r>
      <w:r>
        <w:rPr>
          <w:rFonts w:cs="Tahoma" w:ascii="Arial Narrow" w:hAnsi="Arial Narrow"/>
        </w:rPr>
        <w:t>Predsjednik Općinskog vijeća</w:t>
      </w:r>
    </w:p>
    <w:p>
      <w:pPr>
        <w:pStyle w:val="Normal"/>
        <w:rPr/>
      </w:pPr>
      <w:r>
        <w:rPr>
          <w:rFonts w:cs="Tahoma" w:ascii="Arial Narrow" w:hAnsi="Arial Narrow"/>
        </w:rPr>
        <w:tab/>
        <w:tab/>
        <w:tab/>
        <w:tab/>
        <w:tab/>
        <w:tab/>
        <w:tab/>
        <w:tab/>
        <w:t>mr. Silvestar Vučković dr.vet.med.</w:t>
      </w:r>
    </w:p>
    <w:p>
      <w:pPr>
        <w:pStyle w:val="Normal"/>
        <w:jc w:val="center"/>
        <w:rPr>
          <w:rFonts w:ascii="Arial Narrow" w:hAnsi="Arial Narrow" w:cs="Tahoma"/>
        </w:rPr>
      </w:pPr>
      <w:r>
        <w:rPr>
          <w:rFonts w:cs="Tahoma" w:ascii="Arial Narrow" w:hAnsi="Arial Narrow"/>
        </w:rPr>
        <w:t xml:space="preserve">                                                                                            </w:t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jc w:val="both"/>
        <w:rPr/>
      </w:pPr>
      <w:r>
        <w:rPr>
          <w:rFonts w:cs="Tahoma" w:ascii="Arial Narrow" w:hAnsi="Arial Narrow"/>
        </w:rPr>
        <w:t>DOSTAVITI: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Ministarstvo prostornog uređenja, graditeljstva i državne imovine, Ul. Republike Austrije 20, 10000 Zagreb - na nadzor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ahoma" w:ascii="Arial Narrow" w:hAnsi="Arial Narrow"/>
          <w:sz w:val="22"/>
          <w:szCs w:val="22"/>
        </w:rPr>
        <w:t xml:space="preserve">Ministarstvo financija, Katančićeva  5, 10000 Zagreb, na znanje i </w:t>
      </w:r>
      <w:hyperlink r:id="rId3">
        <w:r>
          <w:rPr>
            <w:rStyle w:val="Internetskapoveznica"/>
            <w:rFonts w:cs="Tahoma" w:ascii="Arial Narrow" w:hAnsi="Arial Narrow"/>
            <w:sz w:val="22"/>
            <w:szCs w:val="22"/>
          </w:rPr>
          <w:t>lokalni.proracuni@mfin.hr</w:t>
        </w:r>
      </w:hyperlink>
      <w:r>
        <w:rPr>
          <w:rFonts w:cs="Tahoma" w:ascii="Arial Narrow" w:hAnsi="Arial Narrow"/>
          <w:sz w:val="22"/>
          <w:szCs w:val="22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ahoma" w:ascii="Arial Narrow" w:hAnsi="Arial Narrow"/>
          <w:sz w:val="22"/>
          <w:szCs w:val="22"/>
        </w:rPr>
        <w:t xml:space="preserve">Državni ured za reviziju, Područni ured Krapina, Gajeva 2/II, 49000 Krapina, </w:t>
      </w:r>
      <w:hyperlink r:id="rId4">
        <w:r>
          <w:rPr>
            <w:rStyle w:val="Internetskapoveznica"/>
            <w:rFonts w:cs="Tahoma" w:ascii="Arial Narrow" w:hAnsi="Arial Narrow"/>
            <w:sz w:val="22"/>
            <w:szCs w:val="22"/>
          </w:rPr>
          <w:t>dur.krapina@revizija.hr</w:t>
        </w:r>
      </w:hyperlink>
      <w:r>
        <w:rPr>
          <w:rFonts w:cs="Tahoma" w:ascii="Arial Narrow" w:hAnsi="Arial Narrow"/>
          <w:sz w:val="22"/>
          <w:szCs w:val="22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Krapinsko-zagorska županija, Upravni odjel za poslove Županijske skupštine, n/r Svjetlane Goričan, Magistratska 1, 49000 Krapina (za objavu),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Krapinsko-zagorska županija, Upravni odjel za financije i proračun, Magistratska 1, 49000 Krapina,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Oglasna ploča i WEB stranica Općine Mihovljan,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Općinskom načelniku Općine Mihovljan,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Jedinstveni upravni odjel, ovdje,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Prilog zapisniku,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ahoma" w:ascii="Arial Narrow" w:hAnsi="Arial Narrow"/>
          <w:sz w:val="22"/>
          <w:szCs w:val="22"/>
        </w:rPr>
        <w:t>Pismohrana</w:t>
      </w:r>
    </w:p>
    <w:sectPr>
      <w:type w:val="nextPage"/>
      <w:pgSz w:w="11906" w:h="16838"/>
      <w:pgMar w:left="1417" w:right="1417" w:header="0" w:top="273" w:footer="0" w:bottom="1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Estrangelo Edessa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c3a68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1">
    <w:name w:val="Heading 1"/>
    <w:basedOn w:val="Normal"/>
    <w:next w:val="Normal"/>
    <w:qFormat/>
    <w:rsid w:val="002c3a68"/>
    <w:pPr>
      <w:keepNext w:val="true"/>
      <w:spacing w:lineRule="auto" w:line="360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rsid w:val="002c3a68"/>
    <w:rPr>
      <w:color w:val="0000FF"/>
      <w:u w:val="single"/>
    </w:rPr>
  </w:style>
  <w:style w:type="character" w:styleId="TijelotekstaChar" w:customStyle="1">
    <w:name w:val="Tijelo teksta Char"/>
    <w:basedOn w:val="DefaultParagraphFont"/>
    <w:link w:val="Tijeloteksta"/>
    <w:qFormat/>
    <w:rsid w:val="00bb25e1"/>
    <w:rPr>
      <w:rFonts w:ascii="Estrangelo Edessa" w:hAnsi="Estrangelo Edessa"/>
    </w:rPr>
  </w:style>
  <w:style w:type="character" w:styleId="TekstbaloniaChar" w:customStyle="1">
    <w:name w:val="Tekst balončića Char"/>
    <w:basedOn w:val="DefaultParagraphFont"/>
    <w:link w:val="Tekstbalonia"/>
    <w:qFormat/>
    <w:rsid w:val="0014060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107f7"/>
    <w:rPr>
      <w:color w:val="605E5C"/>
      <w:shd w:fill="E1DFDD" w:val="clear"/>
    </w:rPr>
  </w:style>
  <w:style w:type="character" w:styleId="ListLabel1">
    <w:name w:val="ListLabel 1"/>
    <w:qFormat/>
    <w:rPr>
      <w:rFonts w:ascii="Arial Narrow" w:hAnsi="Arial Narrow" w:cs="Tahoma"/>
      <w:sz w:val="22"/>
      <w:szCs w:val="22"/>
    </w:rPr>
  </w:style>
  <w:style w:type="character" w:styleId="ListLabel2">
    <w:name w:val="ListLabel 2"/>
    <w:qFormat/>
    <w:rPr>
      <w:rFonts w:ascii="Arial Narrow" w:hAnsi="Arial Narrow" w:cs="Tahoma"/>
      <w:sz w:val="22"/>
      <w:szCs w:val="22"/>
    </w:rPr>
  </w:style>
  <w:style w:type="character" w:styleId="ListLabel3">
    <w:name w:val="ListLabel 3"/>
    <w:qFormat/>
    <w:rPr>
      <w:rFonts w:ascii="Arial Narrow" w:hAnsi="Arial Narrow" w:cs="Tahoma"/>
      <w:sz w:val="22"/>
      <w:szCs w:val="22"/>
    </w:rPr>
  </w:style>
  <w:style w:type="character" w:styleId="ListLabel4">
    <w:name w:val="ListLabel 4"/>
    <w:qFormat/>
    <w:rPr>
      <w:rFonts w:ascii="Arial Narrow" w:hAnsi="Arial Narrow" w:cs="Tahoma"/>
      <w:sz w:val="22"/>
      <w:szCs w:val="22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link w:val="TijelotekstaChar"/>
    <w:rsid w:val="002c3a68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baloniaChar"/>
    <w:qFormat/>
    <w:rsid w:val="0014060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060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777bcf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okalni.proracuni@mfin.hr" TargetMode="External"/><Relationship Id="rId4" Type="http://schemas.openxmlformats.org/officeDocument/2006/relationships/hyperlink" Target="mailto:dur.krapina@revizija.hr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LibreOffice/6.2.4.2$Windows_X86_64 LibreOffice_project/2412653d852ce75f65fbfa83fb7e7b669a126d64</Application>
  <Pages>1</Pages>
  <Words>369</Words>
  <Characters>2383</Characters>
  <CharactersWithSpaces>2918</CharactersWithSpaces>
  <Paragraphs>44</Paragraphs>
  <Company>OPĆINA MIHOVLJAN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2020-12-23T12:13:00Z</dcterms:created>
  <dc:creator>ZDENKO</dc:creator>
  <dc:description/>
  <dc:language>hr-HR</dc:language>
  <cp:lastModifiedBy/>
  <cp:lastPrinted>2020-12-24T09:03:00Z</cp:lastPrinted>
  <dcterms:modified xsi:type="dcterms:W3CDTF">2021-12-30T09:46:41Z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