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74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0"/>
        <w:gridCol w:w="5203"/>
      </w:tblGrid>
      <w:tr>
        <w:trPr>
          <w:trHeight w:val="506" w:hRule="atLeast"/>
        </w:trPr>
        <w:tc>
          <w:tcPr>
            <w:tcW w:w="44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520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363-01/23-01/21</w:t>
      </w:r>
    </w:p>
    <w:p>
      <w:pPr>
        <w:pStyle w:val="Normal"/>
        <w:rPr/>
      </w:pPr>
      <w:r>
        <w:rPr>
          <w:sz w:val="22"/>
          <w:szCs w:val="22"/>
        </w:rPr>
        <w:t>URBROJ: 2140-23-1-23-02</w:t>
      </w:r>
    </w:p>
    <w:p>
      <w:pPr>
        <w:pStyle w:val="Normal"/>
        <w:rPr/>
      </w:pPr>
      <w:r>
        <w:rPr>
          <w:sz w:val="22"/>
          <w:szCs w:val="22"/>
        </w:rPr>
        <w:t>Mihovljan, 20. prosinac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72. Zakona o komunalnom gospodarstvu („Narodne novine“ broj 68/18 i 110/18, 32/20) i članka 39. Statuta Općine Mihovljan („Službeni glasnik Krapinsko-zagorske županije“ br. 5/13, 11/18 i 8/20, 8/21), Općinsko vijeće Općine Mihovljan na svojoj 21. sjednici održanoj dana 20.prosinca 2023. godine, donijelo je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PROGRAM ODRŽAVANJA OBJEKATA KOMUNALNE INFRASTRUKTURE NA PODRUČJU OPĆINE MIHOVLJAN UZ III. IZMJENE I DOPUNE PRORAČUNA U 2023. GODINI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Ovim Programom održavanja komunalne infrastrukture u 2023. godini na području Općine Mihovljan uz I. izmjene i dopune Proračuna u skladu s predvidivim sredstvima i izvorima financiranja, određuju radovi na održavanju objekata i uređaja komunalne infrastrukture koji se razumijevaju obavljanjem komunalnih djelatnosti: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održavanja nerazvrstanih cesta i javno prometnih površina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održavanja javnih zelenih površina i parkova 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održavanja groblja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javne rasvjete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2.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održavanja komunalne infrastrukture u 2023. godini izrađen je u skladu s predvidivim sredstvima i izvornima financiranja utvrđenih I. izmjenom i dopunom Proračuna Općine Mihovljan za 2023. godinu.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Sredstva za ostvarivanje Programa održavanja komunalne infrastrukture u 2023. godini planirana su iz  sljedećih izvora:</w:t>
      </w:r>
    </w:p>
    <w:tbl>
      <w:tblPr>
        <w:tblStyle w:val="Reetkatablice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"/>
        <w:gridCol w:w="563"/>
        <w:gridCol w:w="6983"/>
        <w:gridCol w:w="2"/>
        <w:gridCol w:w="1951"/>
      </w:tblGrid>
      <w:tr>
        <w:trPr/>
        <w:tc>
          <w:tcPr>
            <w:tcW w:w="389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R.b.</w:t>
            </w:r>
          </w:p>
        </w:tc>
        <w:tc>
          <w:tcPr>
            <w:tcW w:w="6983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95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IZMJENE I DOPUNE</w:t>
            </w:r>
          </w:p>
        </w:tc>
      </w:tr>
      <w:tr>
        <w:trPr/>
        <w:tc>
          <w:tcPr>
            <w:tcW w:w="7937" w:type="dxa"/>
            <w:gridSpan w:val="4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9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Prihodi od poreza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84.774,45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Prihodi od imovine (naknade za koncesiju)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3.859,95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Kazne i upravne mjere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1.990,84</w:t>
            </w:r>
          </w:p>
        </w:tc>
      </w:tr>
      <w:tr>
        <w:trPr/>
        <w:tc>
          <w:tcPr>
            <w:tcW w:w="7937" w:type="dxa"/>
            <w:gridSpan w:val="4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95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Groblje: prihod od davanja u  zakup grobnih mjesta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7.963,37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Groblje: prihod od izd. Rješenja za gradnju betonskih okvira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530,89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Groblje: prihod od izd. Odobrenja za opločenje grobnih mjesta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530,89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Groblje: grobne usluge (usluge ukopa i ostale usluge)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11.945,05</w:t>
            </w:r>
          </w:p>
        </w:tc>
      </w:tr>
      <w:tr>
        <w:trPr/>
        <w:tc>
          <w:tcPr>
            <w:tcW w:w="7937" w:type="dxa"/>
            <w:gridSpan w:val="4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95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89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Šumski doprinos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1.592,67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8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 od grobne naknade</w:t>
            </w:r>
          </w:p>
        </w:tc>
        <w:tc>
          <w:tcPr>
            <w:tcW w:w="19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39.816,84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8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 od komunalne naknade</w:t>
            </w:r>
          </w:p>
        </w:tc>
        <w:tc>
          <w:tcPr>
            <w:tcW w:w="19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11.546,88</w:t>
            </w:r>
          </w:p>
        </w:tc>
      </w:tr>
      <w:tr>
        <w:trPr>
          <w:trHeight w:val="330" w:hRule="atLeast"/>
        </w:trPr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8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Prihod od komunalnog doprinosa</w:t>
            </w:r>
          </w:p>
        </w:tc>
        <w:tc>
          <w:tcPr>
            <w:tcW w:w="195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663,61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8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Vodni doprinos</w:t>
            </w:r>
          </w:p>
        </w:tc>
        <w:tc>
          <w:tcPr>
            <w:tcW w:w="19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265,45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8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Refundacija građana za el. energiju za javnu rasvjetu</w:t>
            </w:r>
          </w:p>
        </w:tc>
        <w:tc>
          <w:tcPr>
            <w:tcW w:w="19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66,36</w:t>
            </w:r>
          </w:p>
        </w:tc>
      </w:tr>
      <w:tr>
        <w:trPr/>
        <w:tc>
          <w:tcPr>
            <w:tcW w:w="389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83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Sufinanciranje građana – uređenje odvodnih jaraka</w:t>
            </w:r>
          </w:p>
        </w:tc>
        <w:tc>
          <w:tcPr>
            <w:tcW w:w="19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1.327,23</w:t>
            </w:r>
          </w:p>
        </w:tc>
      </w:tr>
      <w:tr>
        <w:trPr/>
        <w:tc>
          <w:tcPr>
            <w:tcW w:w="389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83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166.874,48</w:t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ab/>
        <w:t xml:space="preserve">Sredstva iz članka 3. ovog Programa utrošit će se za sljedeće namjene: 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ODRŽAVANJE NERAZVRSTANIH CESTA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3"/>
        <w:gridCol w:w="2684"/>
        <w:gridCol w:w="1296"/>
        <w:gridCol w:w="1226"/>
        <w:gridCol w:w="1394"/>
        <w:gridCol w:w="1669"/>
        <w:gridCol w:w="945"/>
      </w:tblGrid>
      <w:tr>
        <w:trPr>
          <w:trHeight w:val="397" w:hRule="atLeast"/>
        </w:trPr>
        <w:tc>
          <w:tcPr>
            <w:tcW w:w="9997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ODRŽAVANJE NERAZVRSTANIH CESTA </w:t>
            </w:r>
          </w:p>
        </w:tc>
      </w:tr>
      <w:tr>
        <w:trPr>
          <w:trHeight w:val="397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39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Izmjene i dopune (EUR)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 materijala po cestama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Prijevoz kamenog materijala, betonskih cijevi i sl.)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11.945,05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11.945,05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15.000,00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=11.945,05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=15.000,00 EUR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3232.11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 strojem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 na terenu (kopanje odvodnih jama, razgrtanje kamenog materijala, i ostali potrebni radovi na ugradnji kamenog materijala)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7.963,37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7.963,37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7.963,37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=7.963,37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=7.963,37 EUR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3232.12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Košnja bankina uz nerazvrstanu cestu i zemljišta u vl. Općine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Sukladno planovima mjesnih odbora i potreba na terenu (košenje/malčiranje bankina i pojasa cestovnog zemljišta, obrezivanje granja i raslinja, malčiranje javnih površina općine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13.272,28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13.272,28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13.272,28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=13.272,28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=13.272,28 EUR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3232.17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Županijska cesta –zemljani radovi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Zemljani radovi izvršeni strojem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663,61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663,61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663,61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=663,61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=663,61 EUR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3232.19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Izdaci za zimsku službu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i doprema soli i sitnog agregata, strojno čišćenje snijega, posipavanje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7.963,37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7.963,37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7.963,37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=7.963,37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=7.963,37 EUR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3234.90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 materijal za ceste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kamenog materijala raspoređuje se prema planovima mjesnih odbora i sukladno potrebama na terenu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9.298,60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9.298,60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14.000,00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=9.298,60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=14.000,00 EUR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3224.41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Cijevi za ceste, odvodnju i ostalo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(betonske cijevi, kanalice,rešetke i sl.)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2.654,46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2.654,46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2.654,46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=2.654,46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=2.654,46 EUR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3224.42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268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Prometni znakovi, putokazi i prometna ogledala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(prometni znakovi,putokazi i prometna ogledala) </w:t>
            </w:r>
          </w:p>
        </w:tc>
        <w:tc>
          <w:tcPr>
            <w:tcW w:w="129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1.990,84</w:t>
            </w:r>
          </w:p>
        </w:tc>
        <w:tc>
          <w:tcPr>
            <w:tcW w:w="122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1.990,84</w:t>
            </w:r>
          </w:p>
        </w:tc>
        <w:tc>
          <w:tcPr>
            <w:tcW w:w="1394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</w:rPr>
              <w:t>1.990,84</w:t>
            </w:r>
          </w:p>
        </w:tc>
        <w:tc>
          <w:tcPr>
            <w:tcW w:w="166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=1.990,84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=1.990,84 EUR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296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55.751,58</w:t>
            </w:r>
          </w:p>
        </w:tc>
        <w:tc>
          <w:tcPr>
            <w:tcW w:w="1226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55.751,58</w:t>
            </w:r>
          </w:p>
        </w:tc>
        <w:tc>
          <w:tcPr>
            <w:tcW w:w="139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63.507,93</w:t>
            </w:r>
          </w:p>
        </w:tc>
        <w:tc>
          <w:tcPr>
            <w:tcW w:w="26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/>
      </w:pPr>
      <w:r>
        <w:rPr>
          <w:b/>
          <w:sz w:val="22"/>
          <w:szCs w:val="22"/>
        </w:rPr>
        <w:t>2. ODRŽAVANJE JAVNIH ZELENIH POVRŠINA I PARKOVA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Programom održavanja javnih zelenih površina na području Općine Mihovljan za 2023. godinu obuhvaćeni su svi uređeni dijelovi naselja Općine, a u ostalim naseljima uređeni parkovi i dječja igrališta.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>
      <w:pPr>
        <w:pStyle w:val="Normal"/>
        <w:spacing w:lineRule="auto" w:line="264"/>
        <w:jc w:val="both"/>
        <w:rPr/>
      </w:pPr>
      <w:r>
        <w:rPr>
          <w:sz w:val="22"/>
          <w:szCs w:val="22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3"/>
        <w:gridCol w:w="3429"/>
        <w:gridCol w:w="1100"/>
        <w:gridCol w:w="1136"/>
        <w:gridCol w:w="1066"/>
        <w:gridCol w:w="1493"/>
        <w:gridCol w:w="990"/>
      </w:tblGrid>
      <w:tr>
        <w:trPr>
          <w:trHeight w:val="397" w:hRule="atLeast"/>
        </w:trPr>
        <w:tc>
          <w:tcPr>
            <w:tcW w:w="9997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ODRŽAVANJE JAVNIH ZELENIH POVRŠINA</w:t>
            </w:r>
          </w:p>
        </w:tc>
      </w:tr>
      <w:tr>
        <w:trPr>
          <w:trHeight w:val="397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342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06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Izmjene i dopune (EUR)</w:t>
            </w:r>
          </w:p>
        </w:tc>
        <w:tc>
          <w:tcPr>
            <w:tcW w:w="14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42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Uređenje odvodnih jaraka (koji nisu u nadležnosti hr voda)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Strojni iskop odvodnih jaraka </w:t>
            </w:r>
          </w:p>
        </w:tc>
        <w:tc>
          <w:tcPr>
            <w:tcW w:w="11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2.654,46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2.654,46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2.654,46</w:t>
            </w:r>
          </w:p>
        </w:tc>
        <w:tc>
          <w:tcPr>
            <w:tcW w:w="149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=2.654,46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=2.654,46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3232.13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42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Sanacija divljih odlagališta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čišćenje i odvoz smeća sa divljih deponija </w:t>
            </w:r>
          </w:p>
        </w:tc>
        <w:tc>
          <w:tcPr>
            <w:tcW w:w="11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1.327,23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1.327,23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1.327,23</w:t>
            </w:r>
          </w:p>
        </w:tc>
        <w:tc>
          <w:tcPr>
            <w:tcW w:w="149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=1.327,23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=1.327,23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3234.41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42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- tekuće uređenje centra Mihovljana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 xml:space="preserve">Parkovno cvijeće, žardinjere/cvijeće, zemlja, gnojivo, klupe, koševi, popravak klupa i sl.   </w:t>
            </w:r>
          </w:p>
        </w:tc>
        <w:tc>
          <w:tcPr>
            <w:tcW w:w="11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1.981,68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5.000,00</w:t>
            </w:r>
          </w:p>
        </w:tc>
        <w:tc>
          <w:tcPr>
            <w:tcW w:w="149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=5.000,00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3224.46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42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Stari grad – uređenje zemljišta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 strojem, košenje, flakasanje i sl. </w:t>
            </w:r>
          </w:p>
        </w:tc>
        <w:tc>
          <w:tcPr>
            <w:tcW w:w="110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3.981,68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3.981,68</w:t>
            </w:r>
          </w:p>
        </w:tc>
        <w:tc>
          <w:tcPr>
            <w:tcW w:w="1493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=3.981,68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3232.14</w:t>
            </w:r>
          </w:p>
        </w:tc>
      </w:tr>
      <w:tr>
        <w:trPr>
          <w:trHeight w:val="340" w:hRule="atLeast"/>
        </w:trPr>
        <w:tc>
          <w:tcPr>
            <w:tcW w:w="7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42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– uređenje zelene površine (prilaz crkvi)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Uređenje zelene površine, dovoz zemlje, sijanje trave i bilja/cvijeća</w:t>
            </w:r>
          </w:p>
        </w:tc>
        <w:tc>
          <w:tcPr>
            <w:tcW w:w="110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3.981,68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2.500,00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2.500,00</w:t>
            </w:r>
          </w:p>
        </w:tc>
        <w:tc>
          <w:tcPr>
            <w:tcW w:w="149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=3.981,68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=2.500,00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3232.20</w:t>
            </w:r>
          </w:p>
        </w:tc>
      </w:tr>
      <w:tr>
        <w:trPr>
          <w:trHeight w:val="340" w:hRule="atLeast"/>
        </w:trPr>
        <w:tc>
          <w:tcPr>
            <w:tcW w:w="7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342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– uređenje zelene površine (kraj šetnice)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Uređenje zelene površine, dovoz zemlje, rad strojem,sijanje trave, sadnja drveća i bilja/cvijeća </w:t>
            </w:r>
          </w:p>
        </w:tc>
        <w:tc>
          <w:tcPr>
            <w:tcW w:w="110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18.000,00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15.000,00</w:t>
            </w:r>
          </w:p>
        </w:tc>
        <w:tc>
          <w:tcPr>
            <w:tcW w:w="149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=6.636,14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=15.000,00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3232.27</w:t>
            </w:r>
          </w:p>
        </w:tc>
      </w:tr>
      <w:tr>
        <w:trPr>
          <w:trHeight w:val="340" w:hRule="atLeast"/>
        </w:trPr>
        <w:tc>
          <w:tcPr>
            <w:tcW w:w="7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342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javnih površina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Košnja i  flaksanje trave, čišćenje nogostupa i ostali radovi na održavanju javnih površina.</w:t>
            </w:r>
          </w:p>
        </w:tc>
        <w:tc>
          <w:tcPr>
            <w:tcW w:w="110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8.000,00</w:t>
            </w:r>
          </w:p>
        </w:tc>
        <w:tc>
          <w:tcPr>
            <w:tcW w:w="149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=8.000,00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3234.93</w:t>
            </w:r>
          </w:p>
        </w:tc>
      </w:tr>
      <w:tr>
        <w:trPr>
          <w:trHeight w:val="340" w:hRule="atLeast"/>
        </w:trPr>
        <w:tc>
          <w:tcPr>
            <w:tcW w:w="7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342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Centar- drveće i zeleno bilje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Nabavka,  drveća i zelenog bilja</w:t>
            </w:r>
          </w:p>
        </w:tc>
        <w:tc>
          <w:tcPr>
            <w:tcW w:w="110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1.000,00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1.000,00</w:t>
            </w:r>
          </w:p>
        </w:tc>
        <w:tc>
          <w:tcPr>
            <w:tcW w:w="149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=1.000,00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3232.22</w:t>
            </w:r>
          </w:p>
        </w:tc>
      </w:tr>
      <w:tr>
        <w:trPr>
          <w:trHeight w:val="340" w:hRule="atLeast"/>
        </w:trPr>
        <w:tc>
          <w:tcPr>
            <w:tcW w:w="78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342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- sanacija kućica na Nogometnom igralištu u Mihovljanu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Nabavka i postava novih obloga od materijala lexan</w:t>
            </w:r>
          </w:p>
        </w:tc>
        <w:tc>
          <w:tcPr>
            <w:tcW w:w="1100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2.000,00</w:t>
            </w:r>
          </w:p>
        </w:tc>
        <w:tc>
          <w:tcPr>
            <w:tcW w:w="10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2.000,00</w:t>
            </w:r>
          </w:p>
        </w:tc>
        <w:tc>
          <w:tcPr>
            <w:tcW w:w="149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0,00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</w:t>
              <w:br/>
              <w:t>=2.000,00 EUR</w:t>
            </w:r>
          </w:p>
        </w:tc>
        <w:tc>
          <w:tcPr>
            <w:tcW w:w="99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3232.24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4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0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22.562,87 </w:t>
            </w:r>
          </w:p>
        </w:tc>
        <w:tc>
          <w:tcPr>
            <w:tcW w:w="1136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41.445,05</w:t>
            </w:r>
          </w:p>
        </w:tc>
        <w:tc>
          <w:tcPr>
            <w:tcW w:w="10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1"/>
                <w:szCs w:val="21"/>
              </w:rPr>
              <w:t>1.463,37</w:t>
            </w:r>
          </w:p>
        </w:tc>
        <w:tc>
          <w:tcPr>
            <w:tcW w:w="248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/>
      </w:pPr>
      <w:r>
        <w:rPr>
          <w:b/>
          <w:sz w:val="22"/>
          <w:szCs w:val="22"/>
        </w:rPr>
        <w:t>3. ODRŽAVANJE GROBLJA</w:t>
      </w:r>
    </w:p>
    <w:p>
      <w:pPr>
        <w:pStyle w:val="Normal"/>
        <w:spacing w:lineRule="auto" w:line="264"/>
        <w:rPr/>
      </w:pPr>
      <w:r>
        <w:rPr>
          <w:sz w:val="22"/>
          <w:szCs w:val="22"/>
        </w:rPr>
        <w:tab/>
        <w:t>Pod održavanjem groblja podrazumijeva se održavanje prostora i zgrada za obavljanje ispraćaja i ukopa pokojnika te uređivanje putova, zelenih i drugih površina unutar groblja.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008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5"/>
        <w:gridCol w:w="2905"/>
        <w:gridCol w:w="1123"/>
        <w:gridCol w:w="1183"/>
        <w:gridCol w:w="1281"/>
        <w:gridCol w:w="1839"/>
        <w:gridCol w:w="969"/>
      </w:tblGrid>
      <w:tr>
        <w:trPr>
          <w:trHeight w:val="397" w:hRule="atLeast"/>
        </w:trPr>
        <w:tc>
          <w:tcPr>
            <w:tcW w:w="10085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ODRŽAVANJE GROBLJA</w:t>
            </w:r>
          </w:p>
        </w:tc>
      </w:tr>
      <w:tr>
        <w:trPr>
          <w:trHeight w:val="397" w:hRule="atLeast"/>
        </w:trPr>
        <w:tc>
          <w:tcPr>
            <w:tcW w:w="7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29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183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28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Izmjene i dopune (EUR)</w:t>
            </w:r>
          </w:p>
        </w:tc>
        <w:tc>
          <w:tcPr>
            <w:tcW w:w="183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9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 materijala – mjesno groblje Mihovljan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Dovoz kamenog materijala za staze na groblju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398,17</w:t>
            </w:r>
          </w:p>
        </w:tc>
        <w:tc>
          <w:tcPr>
            <w:tcW w:w="118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398,17</w:t>
            </w:r>
          </w:p>
        </w:tc>
        <w:tc>
          <w:tcPr>
            <w:tcW w:w="128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398,17</w:t>
            </w:r>
          </w:p>
        </w:tc>
        <w:tc>
          <w:tcPr>
            <w:tcW w:w="183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=398,17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=398,17 EUR</w:t>
            </w:r>
          </w:p>
        </w:tc>
        <w:tc>
          <w:tcPr>
            <w:tcW w:w="9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3232.10</w:t>
            </w:r>
          </w:p>
        </w:tc>
      </w:tr>
      <w:tr>
        <w:trPr>
          <w:trHeight w:val="340" w:hRule="atLeast"/>
        </w:trPr>
        <w:tc>
          <w:tcPr>
            <w:tcW w:w="7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9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 materijal – mjesno groblje Mihovljan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Kameni materijal za staze na groblju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398,17</w:t>
            </w:r>
          </w:p>
        </w:tc>
        <w:tc>
          <w:tcPr>
            <w:tcW w:w="118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398,17</w:t>
            </w:r>
          </w:p>
        </w:tc>
        <w:tc>
          <w:tcPr>
            <w:tcW w:w="128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398,17</w:t>
            </w:r>
          </w:p>
        </w:tc>
        <w:tc>
          <w:tcPr>
            <w:tcW w:w="183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=398,17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=398,17 EUR</w:t>
            </w:r>
          </w:p>
        </w:tc>
        <w:tc>
          <w:tcPr>
            <w:tcW w:w="9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3224.10</w:t>
            </w:r>
          </w:p>
        </w:tc>
      </w:tr>
      <w:tr>
        <w:trPr>
          <w:trHeight w:val="340" w:hRule="atLeast"/>
        </w:trPr>
        <w:tc>
          <w:tcPr>
            <w:tcW w:w="78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90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Izdaci za odvoz smeća (kontejnera) sa mjesnog groblja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Odvoz smeća u kontejnerima sa mjesnog groblja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13.272,28</w:t>
            </w:r>
          </w:p>
        </w:tc>
        <w:tc>
          <w:tcPr>
            <w:tcW w:w="1183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13.272,28</w:t>
            </w:r>
          </w:p>
        </w:tc>
        <w:tc>
          <w:tcPr>
            <w:tcW w:w="1281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13.272,28</w:t>
            </w:r>
          </w:p>
        </w:tc>
        <w:tc>
          <w:tcPr>
            <w:tcW w:w="183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Općine=13.272,28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Općine=13.272,28 EUR</w:t>
            </w:r>
          </w:p>
        </w:tc>
        <w:tc>
          <w:tcPr>
            <w:tcW w:w="9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3234.21</w:t>
            </w:r>
          </w:p>
        </w:tc>
      </w:tr>
      <w:tr>
        <w:trPr>
          <w:trHeight w:val="340" w:hRule="atLeast"/>
        </w:trPr>
        <w:tc>
          <w:tcPr>
            <w:tcW w:w="78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9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Održavanje groblja i usl. ukopa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 i  usluga vezanih za groblje i usl.ukopa</w:t>
            </w:r>
          </w:p>
        </w:tc>
        <w:tc>
          <w:tcPr>
            <w:tcW w:w="112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19.908,42</w:t>
            </w:r>
          </w:p>
        </w:tc>
        <w:tc>
          <w:tcPr>
            <w:tcW w:w="1183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2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83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(31) Proračun Općine =19.908,42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=0,00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6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3234.91</w:t>
            </w:r>
          </w:p>
        </w:tc>
      </w:tr>
      <w:tr>
        <w:trPr>
          <w:trHeight w:val="340" w:hRule="atLeast"/>
        </w:trPr>
        <w:tc>
          <w:tcPr>
            <w:tcW w:w="78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9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Groblje – izrada betonskih okvira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-izrada betonskih okvira na mjesnom groblju (materijal i rad) </w:t>
            </w:r>
          </w:p>
        </w:tc>
        <w:tc>
          <w:tcPr>
            <w:tcW w:w="112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183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6.636,14</w:t>
            </w:r>
          </w:p>
        </w:tc>
        <w:tc>
          <w:tcPr>
            <w:tcW w:w="12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83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(31) Proračun Općine </w:t>
              <w:br/>
              <w:t>= 6.636,14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(31) Proračun Općine </w:t>
              <w:br/>
              <w:t>=0,00 EUR</w:t>
            </w:r>
          </w:p>
        </w:tc>
        <w:tc>
          <w:tcPr>
            <w:tcW w:w="96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3232.26</w:t>
            </w:r>
          </w:p>
        </w:tc>
      </w:tr>
      <w:tr>
        <w:trPr>
          <w:trHeight w:val="340" w:hRule="atLeast"/>
        </w:trPr>
        <w:tc>
          <w:tcPr>
            <w:tcW w:w="78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905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Održavanje Mjesnog groblja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</w:t>
            </w:r>
          </w:p>
        </w:tc>
        <w:tc>
          <w:tcPr>
            <w:tcW w:w="1123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83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12.000,00</w:t>
            </w:r>
          </w:p>
        </w:tc>
        <w:tc>
          <w:tcPr>
            <w:tcW w:w="12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12.000,00</w:t>
            </w:r>
          </w:p>
        </w:tc>
        <w:tc>
          <w:tcPr>
            <w:tcW w:w="183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0,00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(31) Proračun Općine =12.000,00 EUR</w:t>
            </w:r>
          </w:p>
        </w:tc>
        <w:tc>
          <w:tcPr>
            <w:tcW w:w="96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3234.98</w:t>
            </w:r>
          </w:p>
        </w:tc>
      </w:tr>
      <w:tr>
        <w:trPr>
          <w:trHeight w:val="340" w:hRule="atLeast"/>
        </w:trPr>
        <w:tc>
          <w:tcPr>
            <w:tcW w:w="78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9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40.613,18</w:t>
            </w:r>
          </w:p>
        </w:tc>
        <w:tc>
          <w:tcPr>
            <w:tcW w:w="118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32.704,76</w:t>
            </w:r>
          </w:p>
        </w:tc>
        <w:tc>
          <w:tcPr>
            <w:tcW w:w="12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26.068,02</w:t>
            </w:r>
          </w:p>
        </w:tc>
        <w:tc>
          <w:tcPr>
            <w:tcW w:w="280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ODRŽAVANJE JAVNE RASVJETE</w:t>
      </w:r>
    </w:p>
    <w:p>
      <w:pPr>
        <w:pStyle w:val="Normal"/>
        <w:spacing w:lineRule="auto" w:line="264"/>
        <w:rPr/>
      </w:pPr>
      <w:r>
        <w:rPr>
          <w:sz w:val="22"/>
          <w:szCs w:val="22"/>
        </w:rPr>
        <w:tab/>
        <w:t>Pod održavanjem javne rasvjete podrazumijeva se upravljanje i održavanje instalacija javne rasvjete; uključujući podmirivanje troškova električne energije za javnu rasvjetu, za rasvjetljivanje javnih površina.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3"/>
        <w:gridCol w:w="2914"/>
        <w:gridCol w:w="1123"/>
        <w:gridCol w:w="1175"/>
        <w:gridCol w:w="1279"/>
        <w:gridCol w:w="1777"/>
        <w:gridCol w:w="946"/>
      </w:tblGrid>
      <w:tr>
        <w:trPr>
          <w:trHeight w:val="397" w:hRule="atLeast"/>
        </w:trPr>
        <w:tc>
          <w:tcPr>
            <w:tcW w:w="9997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ODRŽAVANJE JAVNE RASVJETE</w:t>
            </w:r>
          </w:p>
        </w:tc>
      </w:tr>
      <w:tr>
        <w:trPr>
          <w:trHeight w:val="397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291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Izvorni plan (EUR)</w:t>
            </w:r>
          </w:p>
        </w:tc>
        <w:tc>
          <w:tcPr>
            <w:tcW w:w="1175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Tekući plan (EUR)</w:t>
            </w:r>
          </w:p>
        </w:tc>
        <w:tc>
          <w:tcPr>
            <w:tcW w:w="127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Izmjene i dopune (EUR)</w:t>
            </w:r>
          </w:p>
        </w:tc>
        <w:tc>
          <w:tcPr>
            <w:tcW w:w="177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91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Izdaci za održavanje javne rasvjete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Usluga postave i izmjene rasvjetnih tijela/LED rasvjeta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6.636,14</w:t>
            </w:r>
          </w:p>
        </w:tc>
        <w:tc>
          <w:tcPr>
            <w:tcW w:w="1175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6.636,14</w:t>
            </w:r>
          </w:p>
        </w:tc>
        <w:tc>
          <w:tcPr>
            <w:tcW w:w="127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6.636,14</w:t>
            </w:r>
          </w:p>
        </w:tc>
        <w:tc>
          <w:tcPr>
            <w:tcW w:w="177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=6636,14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=6636,14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3232.21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91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Dijelovi za javnu rasvjetu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led rasvjeta i ostalog materijala potrebnog  za održavanje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2.654,46</w:t>
            </w:r>
          </w:p>
        </w:tc>
        <w:tc>
          <w:tcPr>
            <w:tcW w:w="1175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2.654,46</w:t>
            </w:r>
          </w:p>
        </w:tc>
        <w:tc>
          <w:tcPr>
            <w:tcW w:w="127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2.654,46</w:t>
            </w:r>
          </w:p>
        </w:tc>
        <w:tc>
          <w:tcPr>
            <w:tcW w:w="177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Općine=2.654,46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(11) Proračun Općine=2.654,46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914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Trošak električne energije za javnu rasvjetu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potrošnja električne energije za javnu rasvjetu </w:t>
            </w:r>
          </w:p>
        </w:tc>
        <w:tc>
          <w:tcPr>
            <w:tcW w:w="112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26.544,56</w:t>
            </w:r>
          </w:p>
        </w:tc>
        <w:tc>
          <w:tcPr>
            <w:tcW w:w="1175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>26.544,56</w:t>
            </w:r>
          </w:p>
        </w:tc>
        <w:tc>
          <w:tcPr>
            <w:tcW w:w="1279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26.544,56</w:t>
            </w:r>
          </w:p>
        </w:tc>
        <w:tc>
          <w:tcPr>
            <w:tcW w:w="1777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Izvorni plan: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=26.544,56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  <w:t>III. izmjene i dopune: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(43) Proračun Općine</w:t>
              <w:br/>
              <w:t>=26.544,56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4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3223.11</w:t>
            </w:r>
          </w:p>
        </w:tc>
      </w:tr>
      <w:tr>
        <w:trPr>
          <w:trHeight w:val="340" w:hRule="atLeast"/>
        </w:trPr>
        <w:tc>
          <w:tcPr>
            <w:tcW w:w="7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91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12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35.835,16</w:t>
            </w:r>
          </w:p>
        </w:tc>
        <w:tc>
          <w:tcPr>
            <w:tcW w:w="117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35.835,16</w:t>
            </w:r>
          </w:p>
        </w:tc>
        <w:tc>
          <w:tcPr>
            <w:tcW w:w="127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35.835,16</w:t>
            </w:r>
          </w:p>
        </w:tc>
        <w:tc>
          <w:tcPr>
            <w:tcW w:w="272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9"/>
        <w:rPr/>
      </w:pPr>
      <w:r>
        <w:rPr>
          <w:sz w:val="22"/>
          <w:szCs w:val="22"/>
        </w:rPr>
        <w:t xml:space="preserve">Ovaj Program će se objaviti u Službenom glasniku Krapinsko-zagorske županije,  a njegovim donošenjem prestaje važiti Program održavanja komunalne infrastrukture objavljen u Službenom glasniku Krapinsko-zagorske županije broj 19/23. </w:t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mr. Silvestar Vučković dr.vet.med.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417" w:right="707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c48a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bc48a3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f34cb5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180f15"/>
    <w:rPr>
      <w:color w:val="0000FF" w:themeColor="hyperlink"/>
      <w:u w:val="single"/>
    </w:rPr>
  </w:style>
  <w:style w:type="character" w:styleId="ListLabel1" w:customStyle="1">
    <w:name w:val="ListLabel 1"/>
    <w:qFormat/>
    <w:rsid w:val="008733f4"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sid w:val="008733f4"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sid w:val="008733f4"/>
    <w:rPr>
      <w:rFonts w:ascii="Arial Narrow" w:hAnsi="Arial Narrow" w:cs="Tahoma"/>
      <w:sz w:val="22"/>
      <w:szCs w:val="22"/>
    </w:rPr>
  </w:style>
  <w:style w:type="paragraph" w:styleId="Stilnaslova" w:customStyle="1">
    <w:name w:val="Stil naslova"/>
    <w:basedOn w:val="Normal"/>
    <w:next w:val="Tijeloteksta"/>
    <w:qFormat/>
    <w:rsid w:val="008733f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sid w:val="008733f4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733f4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8733f4"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f34c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d3"/>
    <w:pPr>
      <w:spacing w:before="0" w:after="0"/>
      <w:ind w:left="720" w:hanging="0"/>
      <w:contextualSpacing/>
    </w:pPr>
    <w:rPr/>
  </w:style>
  <w:style w:type="paragraph" w:styleId="Sadrajitablice" w:customStyle="1">
    <w:name w:val="Sadržaji tablice"/>
    <w:basedOn w:val="Normal"/>
    <w:qFormat/>
    <w:rsid w:val="008733f4"/>
    <w:pPr>
      <w:suppressLineNumbers/>
    </w:pPr>
    <w:rPr/>
  </w:style>
  <w:style w:type="paragraph" w:styleId="Naslovtablice" w:customStyle="1">
    <w:name w:val="Naslov tablice"/>
    <w:basedOn w:val="Sadrajitablice"/>
    <w:qFormat/>
    <w:rsid w:val="008733f4"/>
    <w:pPr>
      <w:jc w:val="center"/>
    </w:pPr>
    <w:rPr>
      <w:b/>
      <w:bCs/>
    </w:rPr>
  </w:style>
  <w:style w:type="paragraph" w:styleId="NoSpacing">
    <w:name w:val="No Spacing"/>
    <w:qFormat/>
    <w:rsid w:val="008733f4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LibreOffice/6.2.4.2$Windows_X86_64 LibreOffice_project/2412653d852ce75f65fbfa83fb7e7b669a126d64</Application>
  <Pages>6</Pages>
  <Words>1794</Words>
  <Characters>11273</Characters>
  <CharactersWithSpaces>12989</CharactersWithSpaces>
  <Paragraphs>426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2023-12-05T10:19:00Z</dcterms:created>
  <dc:creator>ZDENKO</dc:creator>
  <dc:description/>
  <dc:language>hr-HR</dc:language>
  <cp:lastModifiedBy/>
  <cp:lastPrinted>2024-01-04T08:59:55Z</cp:lastPrinted>
  <dcterms:modified xsi:type="dcterms:W3CDTF">2024-01-09T07:37:10Z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